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9501C" w14:textId="35F75035" w:rsidR="00065E18" w:rsidRDefault="00065E18" w:rsidP="00065E18">
      <w:pPr>
        <w:pStyle w:val="Sansinterligne"/>
        <w:rPr>
          <w:sz w:val="24"/>
          <w:szCs w:val="24"/>
        </w:rPr>
      </w:pPr>
    </w:p>
    <w:p w14:paraId="1E81F03F" w14:textId="77777777" w:rsidR="0022556C" w:rsidRPr="006A2F81" w:rsidRDefault="0022556C" w:rsidP="00C1227A">
      <w:pPr>
        <w:spacing w:after="0" w:line="240" w:lineRule="auto"/>
        <w:ind w:left="1418" w:firstLine="709"/>
        <w:rPr>
          <w:rFonts w:cstheme="minorHAnsi"/>
          <w:b/>
          <w:caps/>
          <w:sz w:val="24"/>
          <w:szCs w:val="24"/>
        </w:rPr>
      </w:pPr>
      <w:r w:rsidRPr="006A2F81">
        <w:rPr>
          <w:rFonts w:cstheme="minorHAnsi"/>
          <w:b/>
          <w:caps/>
          <w:sz w:val="24"/>
          <w:szCs w:val="24"/>
        </w:rPr>
        <w:t>Comment les contrats sécurisent-ils les relations</w:t>
      </w:r>
    </w:p>
    <w:p w14:paraId="79EA69CA" w14:textId="77777777" w:rsidR="00021B89" w:rsidRPr="006A2F81" w:rsidRDefault="0022556C" w:rsidP="00122826">
      <w:pPr>
        <w:spacing w:after="0" w:line="240" w:lineRule="auto"/>
        <w:jc w:val="center"/>
        <w:rPr>
          <w:rFonts w:cstheme="minorHAnsi"/>
          <w:b/>
          <w:caps/>
          <w:sz w:val="24"/>
          <w:szCs w:val="24"/>
        </w:rPr>
      </w:pPr>
      <w:r w:rsidRPr="006A2F81">
        <w:rPr>
          <w:rFonts w:cstheme="minorHAnsi"/>
          <w:b/>
          <w:caps/>
          <w:sz w:val="24"/>
          <w:szCs w:val="24"/>
        </w:rPr>
        <w:t>entre l’entreprise et ses partenaires ?</w:t>
      </w:r>
    </w:p>
    <w:p w14:paraId="53887488" w14:textId="77777777" w:rsidR="00200194" w:rsidRPr="009E27AE" w:rsidRDefault="00200194" w:rsidP="00162531">
      <w:pPr>
        <w:spacing w:after="0" w:line="240" w:lineRule="auto"/>
        <w:rPr>
          <w:rFonts w:cstheme="minorHAnsi"/>
          <w:b/>
          <w:caps/>
          <w:sz w:val="24"/>
          <w:szCs w:val="24"/>
        </w:rPr>
      </w:pPr>
    </w:p>
    <w:p w14:paraId="34EB7234" w14:textId="77777777" w:rsidR="002B3D7F" w:rsidRPr="009E27AE" w:rsidRDefault="002B3D7F" w:rsidP="005A7F61">
      <w:pPr>
        <w:pStyle w:val="Paragraphedeliste"/>
        <w:numPr>
          <w:ilvl w:val="0"/>
          <w:numId w:val="8"/>
        </w:numPr>
        <w:spacing w:after="0" w:line="240" w:lineRule="auto"/>
        <w:ind w:left="284" w:hanging="284"/>
        <w:rPr>
          <w:rFonts w:eastAsia="Calibri" w:cstheme="minorHAnsi"/>
          <w:b/>
          <w:caps/>
          <w:color w:val="4F6228" w:themeColor="accent3" w:themeShade="80"/>
          <w:sz w:val="26"/>
          <w:szCs w:val="26"/>
          <w:u w:val="single"/>
        </w:rPr>
      </w:pPr>
      <w:r w:rsidRPr="009E27AE">
        <w:rPr>
          <w:rFonts w:eastAsia="Calibri" w:cstheme="minorHAnsi"/>
          <w:b/>
          <w:caps/>
          <w:color w:val="4F6228" w:themeColor="accent3" w:themeShade="80"/>
          <w:sz w:val="26"/>
          <w:szCs w:val="26"/>
          <w:u w:val="single"/>
        </w:rPr>
        <w:t xml:space="preserve">Les </w:t>
      </w:r>
      <w:r w:rsidR="002D6F40" w:rsidRPr="009E27AE">
        <w:rPr>
          <w:rFonts w:eastAsia="Calibri" w:cstheme="minorHAnsi"/>
          <w:b/>
          <w:caps/>
          <w:color w:val="4F6228" w:themeColor="accent3" w:themeShade="80"/>
          <w:sz w:val="26"/>
          <w:szCs w:val="26"/>
          <w:u w:val="single"/>
        </w:rPr>
        <w:t>principes du droit des contrats</w:t>
      </w:r>
    </w:p>
    <w:p w14:paraId="478904D7" w14:textId="77777777" w:rsidR="00B506DA" w:rsidRPr="009E27AE" w:rsidRDefault="00B506DA" w:rsidP="00B506DA">
      <w:pPr>
        <w:spacing w:after="0"/>
        <w:rPr>
          <w:rFonts w:eastAsia="Calibri" w:cstheme="minorHAnsi"/>
          <w:b/>
          <w:caps/>
          <w:sz w:val="24"/>
          <w:szCs w:val="24"/>
        </w:rPr>
      </w:pPr>
    </w:p>
    <w:p w14:paraId="6E8B7EAD" w14:textId="77777777" w:rsidR="002B3D7F" w:rsidRPr="009E27AE" w:rsidRDefault="002B3D7F" w:rsidP="002B3D7F">
      <w:pPr>
        <w:numPr>
          <w:ilvl w:val="0"/>
          <w:numId w:val="12"/>
        </w:numPr>
        <w:spacing w:after="0" w:line="240" w:lineRule="auto"/>
        <w:ind w:left="284" w:hanging="284"/>
        <w:contextualSpacing/>
        <w:rPr>
          <w:rFonts w:eastAsia="Calibri" w:cstheme="minorHAnsi"/>
          <w:b/>
          <w:color w:val="76923C" w:themeColor="accent3" w:themeShade="BF"/>
          <w:sz w:val="26"/>
          <w:szCs w:val="26"/>
          <w:u w:val="single"/>
        </w:rPr>
      </w:pPr>
      <w:r w:rsidRPr="009E27AE">
        <w:rPr>
          <w:rFonts w:eastAsia="Calibri" w:cstheme="minorHAnsi"/>
          <w:b/>
          <w:color w:val="76923C" w:themeColor="accent3" w:themeShade="BF"/>
          <w:sz w:val="26"/>
          <w:szCs w:val="26"/>
          <w:u w:val="single"/>
        </w:rPr>
        <w:t>Le cont</w:t>
      </w:r>
      <w:r w:rsidR="00A51811" w:rsidRPr="009E27AE">
        <w:rPr>
          <w:rFonts w:eastAsia="Calibri" w:cstheme="minorHAnsi"/>
          <w:b/>
          <w:color w:val="76923C" w:themeColor="accent3" w:themeShade="BF"/>
          <w:sz w:val="26"/>
          <w:szCs w:val="26"/>
          <w:u w:val="single"/>
        </w:rPr>
        <w:t>rat est d’abord une s</w:t>
      </w:r>
      <w:r w:rsidRPr="009E27AE">
        <w:rPr>
          <w:rFonts w:eastAsia="Calibri" w:cstheme="minorHAnsi"/>
          <w:b/>
          <w:color w:val="76923C" w:themeColor="accent3" w:themeShade="BF"/>
          <w:sz w:val="26"/>
          <w:szCs w:val="26"/>
          <w:u w:val="single"/>
        </w:rPr>
        <w:t>ource d’obligations</w:t>
      </w:r>
    </w:p>
    <w:p w14:paraId="78879321" w14:textId="77777777" w:rsidR="008A434A" w:rsidRPr="009E27AE" w:rsidRDefault="008A434A" w:rsidP="00B506DA">
      <w:pPr>
        <w:spacing w:after="0"/>
        <w:rPr>
          <w:rFonts w:eastAsia="Calibri" w:cstheme="minorHAnsi"/>
          <w:b/>
          <w:caps/>
          <w:sz w:val="24"/>
          <w:szCs w:val="24"/>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628"/>
      </w:tblGrid>
      <w:tr w:rsidR="008A434A" w:rsidRPr="009E27AE" w14:paraId="7E1A659A" w14:textId="77777777" w:rsidTr="008A434A">
        <w:tc>
          <w:tcPr>
            <w:tcW w:w="9778" w:type="dxa"/>
          </w:tcPr>
          <w:p w14:paraId="04244291" w14:textId="77777777" w:rsidR="008A434A" w:rsidRPr="009E27AE" w:rsidRDefault="008A434A" w:rsidP="008A434A">
            <w:pPr>
              <w:pStyle w:val="Titre1"/>
              <w:spacing w:before="0" w:after="120"/>
              <w:rPr>
                <w:rFonts w:asciiTheme="minorHAnsi" w:eastAsia="Calibri" w:hAnsiTheme="minorHAnsi" w:cstheme="minorHAnsi"/>
                <w:b w:val="0"/>
                <w:caps/>
                <w:sz w:val="24"/>
                <w:szCs w:val="24"/>
              </w:rPr>
            </w:pPr>
            <w:r w:rsidRPr="009E27AE">
              <w:rPr>
                <w:rFonts w:asciiTheme="minorHAnsi" w:hAnsiTheme="minorHAnsi" w:cstheme="minorHAnsi"/>
                <w:color w:val="E36C0A" w:themeColor="accent6" w:themeShade="BF"/>
                <w:sz w:val="24"/>
                <w:szCs w:val="24"/>
              </w:rPr>
              <w:t>Ressource 1 - L’acte juridique, source d’obligations</w:t>
            </w:r>
          </w:p>
        </w:tc>
      </w:tr>
      <w:tr w:rsidR="008A434A" w:rsidRPr="009E27AE" w14:paraId="2A121578" w14:textId="77777777" w:rsidTr="008A434A">
        <w:tc>
          <w:tcPr>
            <w:tcW w:w="9778" w:type="dxa"/>
          </w:tcPr>
          <w:p w14:paraId="55B8B63C" w14:textId="77777777" w:rsidR="008A434A" w:rsidRPr="009E27AE" w:rsidRDefault="008A434A" w:rsidP="008A434A">
            <w:pPr>
              <w:jc w:val="both"/>
              <w:rPr>
                <w:rFonts w:cstheme="minorHAnsi"/>
                <w:color w:val="E36C0A" w:themeColor="accent6" w:themeShade="BF"/>
              </w:rPr>
            </w:pPr>
            <w:r w:rsidRPr="009E27AE">
              <w:rPr>
                <w:rFonts w:cstheme="minorHAnsi"/>
                <w:b/>
                <w:color w:val="E36C0A" w:themeColor="accent6" w:themeShade="BF"/>
              </w:rPr>
              <w:t>Art. 1100.-</w:t>
            </w:r>
            <w:r w:rsidRPr="009E27AE">
              <w:rPr>
                <w:rFonts w:cstheme="minorHAnsi"/>
                <w:color w:val="E36C0A" w:themeColor="accent6" w:themeShade="BF"/>
              </w:rPr>
              <w:t xml:space="preserve"> Les obligations naissent d’actes juridiques, de faits juridiques ou de l’autorité seule de la loi.</w:t>
            </w:r>
          </w:p>
          <w:p w14:paraId="2A340E37" w14:textId="77777777" w:rsidR="008A434A" w:rsidRPr="009E27AE" w:rsidRDefault="008A434A" w:rsidP="008A434A">
            <w:pPr>
              <w:spacing w:after="120"/>
              <w:jc w:val="both"/>
              <w:rPr>
                <w:rFonts w:eastAsia="Calibri" w:cstheme="minorHAnsi"/>
                <w:b/>
                <w:caps/>
                <w:sz w:val="24"/>
                <w:szCs w:val="24"/>
              </w:rPr>
            </w:pPr>
            <w:r w:rsidRPr="009E27AE">
              <w:rPr>
                <w:rFonts w:cstheme="minorHAnsi"/>
                <w:color w:val="E36C0A" w:themeColor="accent6" w:themeShade="BF"/>
              </w:rPr>
              <w:t xml:space="preserve">Elles peuvent naître de l’exécution volontaire ou de la promesse d’exécution d’un devoir de conscience envers autrui. </w:t>
            </w:r>
            <w:r w:rsidRPr="009E27AE">
              <w:rPr>
                <w:rFonts w:cstheme="minorHAnsi"/>
                <w:b/>
                <w:color w:val="E36C0A" w:themeColor="accent6" w:themeShade="BF"/>
              </w:rPr>
              <w:t>(Code civil)</w:t>
            </w:r>
          </w:p>
        </w:tc>
      </w:tr>
      <w:tr w:rsidR="008A434A" w:rsidRPr="009E27AE" w14:paraId="32A9CA38" w14:textId="77777777" w:rsidTr="008A434A">
        <w:tc>
          <w:tcPr>
            <w:tcW w:w="9778" w:type="dxa"/>
          </w:tcPr>
          <w:p w14:paraId="12CE6CFF" w14:textId="77777777" w:rsidR="008A434A" w:rsidRPr="009E27AE" w:rsidRDefault="008A434A" w:rsidP="008A434A">
            <w:pPr>
              <w:jc w:val="both"/>
              <w:rPr>
                <w:rFonts w:cstheme="minorHAnsi"/>
              </w:rPr>
            </w:pPr>
            <w:r w:rsidRPr="009E27AE">
              <w:rPr>
                <w:rFonts w:cstheme="minorHAnsi"/>
              </w:rPr>
              <w:t xml:space="preserve">Le droit distingue les actes juridiques qui manifestent  des volontés individuelles et qui produisent des effets de droit, des faits juridiques qui sont des actions ou des événements, volontaires ou non, auxquels c’est la loi qui attache des effets de droit indépendamment de la volonté des individus. </w:t>
            </w:r>
          </w:p>
          <w:p w14:paraId="1438224B" w14:textId="77777777" w:rsidR="008A434A" w:rsidRPr="009E27AE" w:rsidRDefault="008A434A" w:rsidP="008A434A">
            <w:pPr>
              <w:jc w:val="both"/>
              <w:rPr>
                <w:rFonts w:cstheme="minorHAnsi"/>
              </w:rPr>
            </w:pPr>
            <w:r w:rsidRPr="009E27AE">
              <w:rPr>
                <w:rFonts w:cstheme="minorHAnsi"/>
              </w:rPr>
              <w:t>L’acte juridique est donc un acte volontaire accompli en vue de produire des effets de droit, dont la nature et la mesure sont elles-mêmes voulues. Un contrat de vente, de bail, d'entreprise est donc un acte juridique.</w:t>
            </w:r>
          </w:p>
          <w:p w14:paraId="48885ECD" w14:textId="77777777" w:rsidR="008A434A" w:rsidRPr="009E27AE" w:rsidRDefault="008A434A" w:rsidP="008A434A">
            <w:pPr>
              <w:jc w:val="both"/>
              <w:rPr>
                <w:rFonts w:cstheme="minorHAnsi"/>
                <w:b/>
                <w:color w:val="000000" w:themeColor="text1"/>
              </w:rPr>
            </w:pPr>
            <w:r w:rsidRPr="009E27AE">
              <w:rPr>
                <w:rFonts w:cstheme="minorHAnsi"/>
              </w:rPr>
              <w:t xml:space="preserve">L'obligation est un lien de droit unissant deux personnes et en vertu duquel l'une (le créancier, sujet actif) est en droit d'exiger quelque chose de l'autre (le débiteur, sujet passif). L’obligation civile fait donc naître une contrainte en droit pour le débiteur.  </w:t>
            </w:r>
          </w:p>
        </w:tc>
      </w:tr>
    </w:tbl>
    <w:p w14:paraId="36BFA7D4" w14:textId="77777777" w:rsidR="008A434A" w:rsidRPr="009E27AE" w:rsidRDefault="008A434A" w:rsidP="00B506DA">
      <w:pPr>
        <w:spacing w:after="0"/>
        <w:rPr>
          <w:rFonts w:eastAsia="Calibri" w:cstheme="minorHAnsi"/>
          <w:b/>
          <w:caps/>
          <w:sz w:val="24"/>
          <w:szCs w:val="24"/>
        </w:rPr>
      </w:pPr>
    </w:p>
    <w:p w14:paraId="29AB35A0" w14:textId="77777777" w:rsidR="00BD6623" w:rsidRPr="009E27AE" w:rsidRDefault="00BD6623" w:rsidP="00BD6623">
      <w:pPr>
        <w:spacing w:after="0" w:line="240" w:lineRule="auto"/>
        <w:ind w:right="-427"/>
        <w:jc w:val="both"/>
        <w:rPr>
          <w:rFonts w:eastAsia="Calibri" w:cstheme="minorHAnsi"/>
          <w:b/>
          <w:color w:val="548DD4" w:themeColor="text2" w:themeTint="99"/>
          <w:sz w:val="23"/>
          <w:szCs w:val="23"/>
        </w:rPr>
      </w:pPr>
    </w:p>
    <w:p w14:paraId="28350947" w14:textId="77777777" w:rsidR="002B3D7F" w:rsidRPr="009E27AE" w:rsidRDefault="00413365" w:rsidP="002B3D7F">
      <w:pPr>
        <w:numPr>
          <w:ilvl w:val="0"/>
          <w:numId w:val="12"/>
        </w:numPr>
        <w:spacing w:after="0" w:line="240" w:lineRule="auto"/>
        <w:ind w:left="284" w:hanging="284"/>
        <w:contextualSpacing/>
        <w:rPr>
          <w:rFonts w:eastAsia="Calibri" w:cstheme="minorHAnsi"/>
          <w:b/>
          <w:color w:val="76923C" w:themeColor="accent3" w:themeShade="BF"/>
          <w:sz w:val="26"/>
          <w:szCs w:val="26"/>
          <w:u w:val="single"/>
        </w:rPr>
      </w:pPr>
      <w:r w:rsidRPr="009E27AE">
        <w:rPr>
          <w:rFonts w:eastAsia="Calibri" w:cstheme="minorHAnsi"/>
          <w:b/>
          <w:color w:val="76923C" w:themeColor="accent3" w:themeShade="BF"/>
          <w:sz w:val="26"/>
          <w:szCs w:val="26"/>
          <w:u w:val="single"/>
        </w:rPr>
        <w:t>L</w:t>
      </w:r>
      <w:r w:rsidR="002B3D7F" w:rsidRPr="009E27AE">
        <w:rPr>
          <w:rFonts w:eastAsia="Calibri" w:cstheme="minorHAnsi"/>
          <w:b/>
          <w:color w:val="76923C" w:themeColor="accent3" w:themeShade="BF"/>
          <w:sz w:val="26"/>
          <w:szCs w:val="26"/>
          <w:u w:val="single"/>
        </w:rPr>
        <w:t>es principes juridiques du contrat</w:t>
      </w:r>
    </w:p>
    <w:p w14:paraId="15B1AD94" w14:textId="77777777" w:rsidR="003D76EE" w:rsidRPr="009E27AE" w:rsidRDefault="003D76EE" w:rsidP="00B506DA">
      <w:pPr>
        <w:spacing w:after="0"/>
        <w:rPr>
          <w:rFonts w:eastAsia="Calibri" w:cstheme="minorHAnsi"/>
          <w:b/>
          <w:i/>
          <w:sz w:val="24"/>
          <w:szCs w:val="24"/>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628"/>
      </w:tblGrid>
      <w:tr w:rsidR="008A434A" w:rsidRPr="009E27AE" w14:paraId="70ABBCCA" w14:textId="77777777" w:rsidTr="00487520">
        <w:tc>
          <w:tcPr>
            <w:tcW w:w="9778" w:type="dxa"/>
          </w:tcPr>
          <w:p w14:paraId="5C5CD6DD" w14:textId="77777777" w:rsidR="008A434A" w:rsidRPr="009E27AE" w:rsidRDefault="008A434A" w:rsidP="00E569F4">
            <w:pPr>
              <w:pStyle w:val="Titre1"/>
              <w:spacing w:before="0" w:after="120"/>
              <w:rPr>
                <w:rFonts w:asciiTheme="minorHAnsi" w:eastAsia="Calibri" w:hAnsiTheme="minorHAnsi" w:cstheme="minorHAnsi"/>
                <w:b w:val="0"/>
                <w:i/>
                <w:sz w:val="24"/>
                <w:szCs w:val="24"/>
              </w:rPr>
            </w:pPr>
            <w:bookmarkStart w:id="0" w:name="_Toc507366205"/>
            <w:r w:rsidRPr="009E27AE">
              <w:rPr>
                <w:rFonts w:asciiTheme="minorHAnsi" w:hAnsiTheme="minorHAnsi" w:cstheme="minorHAnsi"/>
                <w:color w:val="E36C0A" w:themeColor="accent6" w:themeShade="BF"/>
                <w:sz w:val="24"/>
                <w:szCs w:val="24"/>
              </w:rPr>
              <w:t xml:space="preserve">Ressource 2 - </w:t>
            </w:r>
            <w:r w:rsidR="00E569F4" w:rsidRPr="009E27AE">
              <w:rPr>
                <w:rFonts w:asciiTheme="minorHAnsi" w:hAnsiTheme="minorHAnsi" w:cstheme="minorHAnsi"/>
                <w:color w:val="E36C0A" w:themeColor="accent6" w:themeShade="BF"/>
                <w:sz w:val="24"/>
                <w:szCs w:val="24"/>
              </w:rPr>
              <w:t>La</w:t>
            </w:r>
            <w:r w:rsidRPr="009E27AE">
              <w:rPr>
                <w:rFonts w:asciiTheme="minorHAnsi" w:hAnsiTheme="minorHAnsi" w:cstheme="minorHAnsi"/>
                <w:color w:val="E36C0A" w:themeColor="accent6" w:themeShade="BF"/>
                <w:sz w:val="24"/>
                <w:szCs w:val="24"/>
              </w:rPr>
              <w:t xml:space="preserve"> liberté contractuelle</w:t>
            </w:r>
            <w:bookmarkEnd w:id="0"/>
            <w:r w:rsidR="00E569F4" w:rsidRPr="009E27AE">
              <w:rPr>
                <w:rFonts w:asciiTheme="minorHAnsi" w:hAnsiTheme="minorHAnsi" w:cstheme="minorHAnsi"/>
                <w:color w:val="E36C0A" w:themeColor="accent6" w:themeShade="BF"/>
                <w:sz w:val="24"/>
                <w:szCs w:val="24"/>
              </w:rPr>
              <w:t xml:space="preserve"> et ses limites</w:t>
            </w:r>
          </w:p>
        </w:tc>
      </w:tr>
      <w:tr w:rsidR="008A434A" w:rsidRPr="009E27AE" w14:paraId="42FC288E" w14:textId="77777777" w:rsidTr="00487520">
        <w:tc>
          <w:tcPr>
            <w:tcW w:w="9778" w:type="dxa"/>
          </w:tcPr>
          <w:p w14:paraId="07768FCA" w14:textId="77777777" w:rsidR="008A434A" w:rsidRPr="009E27AE" w:rsidRDefault="008A434A" w:rsidP="008A434A">
            <w:pPr>
              <w:jc w:val="both"/>
              <w:rPr>
                <w:rFonts w:cstheme="minorHAnsi"/>
                <w:color w:val="E36C0A" w:themeColor="accent6" w:themeShade="BF"/>
              </w:rPr>
            </w:pPr>
            <w:r w:rsidRPr="009E27AE">
              <w:rPr>
                <w:rFonts w:cstheme="minorHAnsi"/>
                <w:b/>
                <w:color w:val="E36C0A" w:themeColor="accent6" w:themeShade="BF"/>
              </w:rPr>
              <w:t>Art. 1101.-</w:t>
            </w:r>
            <w:r w:rsidRPr="009E27AE">
              <w:rPr>
                <w:rFonts w:cstheme="minorHAnsi"/>
                <w:color w:val="E36C0A" w:themeColor="accent6" w:themeShade="BF"/>
              </w:rPr>
              <w:t xml:space="preserve"> Le contrat est un accord de volontés entre deux ou plusieurs personnes destiné à créer, modifier, transmettre ou éteindre des obligations. </w:t>
            </w:r>
          </w:p>
          <w:p w14:paraId="6A76FC57" w14:textId="77777777" w:rsidR="008A434A" w:rsidRPr="009E27AE" w:rsidRDefault="008A434A" w:rsidP="008A434A">
            <w:pPr>
              <w:jc w:val="both"/>
              <w:rPr>
                <w:rFonts w:cstheme="minorHAnsi"/>
                <w:color w:val="E36C0A" w:themeColor="accent6" w:themeShade="BF"/>
              </w:rPr>
            </w:pPr>
            <w:r w:rsidRPr="009E27AE">
              <w:rPr>
                <w:rFonts w:cstheme="minorHAnsi"/>
                <w:b/>
                <w:color w:val="E36C0A" w:themeColor="accent6" w:themeShade="BF"/>
              </w:rPr>
              <w:t>Art. 1102.-</w:t>
            </w:r>
            <w:r w:rsidRPr="009E27AE">
              <w:rPr>
                <w:rFonts w:cstheme="minorHAnsi"/>
                <w:color w:val="E36C0A" w:themeColor="accent6" w:themeShade="BF"/>
              </w:rPr>
              <w:t xml:space="preserve"> Chacun est libre de contracter ou de ne pas contracter, de choisir son cocontractant et de déterminer le contenu et la forme du contrat dans les limites fixées par la loi.</w:t>
            </w:r>
          </w:p>
          <w:p w14:paraId="71BB8C24" w14:textId="77777777" w:rsidR="008A434A" w:rsidRPr="009E27AE" w:rsidRDefault="008A434A" w:rsidP="00BD6623">
            <w:pPr>
              <w:spacing w:after="120"/>
              <w:jc w:val="both"/>
              <w:rPr>
                <w:rFonts w:eastAsia="Calibri" w:cstheme="minorHAnsi"/>
                <w:b/>
                <w:i/>
                <w:sz w:val="24"/>
                <w:szCs w:val="24"/>
              </w:rPr>
            </w:pPr>
            <w:r w:rsidRPr="009E27AE">
              <w:rPr>
                <w:rFonts w:cstheme="minorHAnsi"/>
                <w:color w:val="E36C0A" w:themeColor="accent6" w:themeShade="BF"/>
              </w:rPr>
              <w:t xml:space="preserve">La liberté contractuelle ne permet pas de déroger aux règles qui intéressent l’ordre public. </w:t>
            </w:r>
          </w:p>
        </w:tc>
      </w:tr>
      <w:tr w:rsidR="008A434A" w:rsidRPr="009E27AE" w14:paraId="538042EA" w14:textId="77777777" w:rsidTr="00487520">
        <w:tc>
          <w:tcPr>
            <w:tcW w:w="9778" w:type="dxa"/>
          </w:tcPr>
          <w:p w14:paraId="5EACA394" w14:textId="77777777" w:rsidR="00487520" w:rsidRPr="009E27AE" w:rsidRDefault="00487520" w:rsidP="00487520">
            <w:pPr>
              <w:jc w:val="both"/>
              <w:rPr>
                <w:rFonts w:cstheme="minorHAnsi"/>
              </w:rPr>
            </w:pPr>
            <w:r w:rsidRPr="009E27AE">
              <w:rPr>
                <w:rFonts w:cstheme="minorHAnsi"/>
              </w:rPr>
              <w:t>La liberté contractuelle permet de contracter ou de ne pas contracter. Ainsi, on reste libre de mettre fin à des négociations et de ne pas conclure un futur contrat dont on discute le contenu. De même, on est libre de choisir son contractant et donc de ne pas contracter avec d'autres. Cependant, certains contrats peuvent imposer un contractant.</w:t>
            </w:r>
          </w:p>
          <w:p w14:paraId="200C565C" w14:textId="77777777" w:rsidR="00487520" w:rsidRPr="009E27AE" w:rsidRDefault="00487520" w:rsidP="00487520">
            <w:pPr>
              <w:jc w:val="both"/>
              <w:rPr>
                <w:rFonts w:cstheme="minorHAnsi"/>
              </w:rPr>
            </w:pPr>
            <w:r w:rsidRPr="009E27AE">
              <w:rPr>
                <w:rFonts w:cstheme="minorHAnsi"/>
              </w:rPr>
              <w:t>Les parties sont libres du contenu de leur contrat mais là aussi de nombreux contrats ne font pas l’objet de discussions ni de négociations concernant leur contenu.</w:t>
            </w:r>
          </w:p>
          <w:p w14:paraId="1459C8FD" w14:textId="77777777" w:rsidR="008A434A" w:rsidRPr="009E27AE" w:rsidRDefault="00487520" w:rsidP="00487520">
            <w:pPr>
              <w:jc w:val="both"/>
              <w:rPr>
                <w:rFonts w:eastAsia="Calibri" w:cstheme="minorHAnsi"/>
                <w:b/>
                <w:i/>
                <w:sz w:val="24"/>
                <w:szCs w:val="24"/>
              </w:rPr>
            </w:pPr>
            <w:r w:rsidRPr="009E27AE">
              <w:rPr>
                <w:rFonts w:cstheme="minorHAnsi"/>
              </w:rPr>
              <w:t>La liberté contractuelle reste de toute façon limitée par l’ordre public défini comme l'ensemble des règles obligatoires qui touchent à l'organisation de la Nation, à l'économie, à la morale, à la santé, à la sécurité, à la paix publique, aux droits et aux libertés essentielles de chaque individu.</w:t>
            </w:r>
          </w:p>
        </w:tc>
      </w:tr>
    </w:tbl>
    <w:p w14:paraId="158E7837" w14:textId="5EF4E1B4" w:rsidR="008A434A" w:rsidRPr="009E27AE" w:rsidRDefault="008A434A" w:rsidP="00BD6623">
      <w:pPr>
        <w:spacing w:after="120" w:line="240" w:lineRule="auto"/>
        <w:ind w:right="-427"/>
        <w:jc w:val="both"/>
        <w:rPr>
          <w:rFonts w:eastAsia="Calibri" w:cstheme="minorHAnsi"/>
          <w:b/>
          <w:color w:val="548DD4" w:themeColor="text2" w:themeTint="99"/>
          <w:sz w:val="23"/>
          <w:szCs w:val="23"/>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628"/>
      </w:tblGrid>
      <w:tr w:rsidR="00914005" w:rsidRPr="009E27AE" w14:paraId="331C0659" w14:textId="77777777" w:rsidTr="00413365">
        <w:tc>
          <w:tcPr>
            <w:tcW w:w="9778" w:type="dxa"/>
          </w:tcPr>
          <w:p w14:paraId="15A697D8" w14:textId="77777777" w:rsidR="00914005" w:rsidRPr="009E27AE" w:rsidRDefault="00BD6623" w:rsidP="00BD6623">
            <w:pPr>
              <w:pStyle w:val="Titre1"/>
              <w:spacing w:before="0" w:after="120"/>
              <w:rPr>
                <w:rFonts w:asciiTheme="minorHAnsi" w:hAnsiTheme="minorHAnsi" w:cstheme="minorHAnsi"/>
                <w:color w:val="E36C0A" w:themeColor="accent6" w:themeShade="BF"/>
                <w:sz w:val="24"/>
                <w:szCs w:val="24"/>
              </w:rPr>
            </w:pPr>
            <w:bookmarkStart w:id="1" w:name="_Toc507366206"/>
            <w:r w:rsidRPr="009E27AE">
              <w:rPr>
                <w:rFonts w:asciiTheme="minorHAnsi" w:hAnsiTheme="minorHAnsi" w:cstheme="minorHAnsi"/>
                <w:color w:val="E36C0A" w:themeColor="accent6" w:themeShade="BF"/>
                <w:sz w:val="24"/>
                <w:szCs w:val="24"/>
              </w:rPr>
              <w:t>Ressource 3 - La force obligatoire et la bonne foi</w:t>
            </w:r>
          </w:p>
        </w:tc>
      </w:tr>
      <w:tr w:rsidR="00914005" w:rsidRPr="009E27AE" w14:paraId="285A2111" w14:textId="77777777" w:rsidTr="00413365">
        <w:tc>
          <w:tcPr>
            <w:tcW w:w="9778" w:type="dxa"/>
          </w:tcPr>
          <w:p w14:paraId="552C45BE" w14:textId="77777777" w:rsidR="00BD6623" w:rsidRPr="009E27AE" w:rsidRDefault="00BD6623" w:rsidP="00BD6623">
            <w:pPr>
              <w:jc w:val="both"/>
              <w:rPr>
                <w:rFonts w:cstheme="minorHAnsi"/>
                <w:b/>
                <w:color w:val="E36C0A" w:themeColor="accent6" w:themeShade="BF"/>
              </w:rPr>
            </w:pPr>
            <w:r w:rsidRPr="009E27AE">
              <w:rPr>
                <w:rFonts w:cstheme="minorHAnsi"/>
                <w:b/>
                <w:color w:val="E36C0A" w:themeColor="accent6" w:themeShade="BF"/>
              </w:rPr>
              <w:t xml:space="preserve">Art. 1103.- </w:t>
            </w:r>
            <w:r w:rsidRPr="009E27AE">
              <w:rPr>
                <w:rFonts w:cstheme="minorHAnsi"/>
                <w:color w:val="E36C0A" w:themeColor="accent6" w:themeShade="BF"/>
              </w:rPr>
              <w:t>Les contrats légalement formés tiennent lieu de loi à ceux qui les ont faits.</w:t>
            </w:r>
            <w:r w:rsidRPr="009E27AE">
              <w:rPr>
                <w:rFonts w:cstheme="minorHAnsi"/>
                <w:b/>
                <w:color w:val="E36C0A" w:themeColor="accent6" w:themeShade="BF"/>
              </w:rPr>
              <w:t xml:space="preserve"> </w:t>
            </w:r>
          </w:p>
          <w:p w14:paraId="1E7C79D2" w14:textId="77777777" w:rsidR="00914005" w:rsidRPr="009E27AE" w:rsidRDefault="00BD6623" w:rsidP="00E14372">
            <w:pPr>
              <w:spacing w:after="240"/>
              <w:jc w:val="both"/>
              <w:rPr>
                <w:rFonts w:cstheme="minorHAnsi"/>
                <w:color w:val="E36C0A" w:themeColor="accent6" w:themeShade="BF"/>
                <w:sz w:val="24"/>
                <w:szCs w:val="24"/>
              </w:rPr>
            </w:pPr>
            <w:r w:rsidRPr="009E27AE">
              <w:rPr>
                <w:rFonts w:cstheme="minorHAnsi"/>
                <w:b/>
                <w:color w:val="E36C0A" w:themeColor="accent6" w:themeShade="BF"/>
              </w:rPr>
              <w:t>Art. 1104.-</w:t>
            </w:r>
            <w:r w:rsidRPr="009E27AE">
              <w:rPr>
                <w:rFonts w:cstheme="minorHAnsi"/>
                <w:color w:val="E36C0A" w:themeColor="accent6" w:themeShade="BF"/>
              </w:rPr>
              <w:t xml:space="preserve"> Les contrats doivent être négociés, formés et exécutés de bonne foi.</w:t>
            </w:r>
          </w:p>
        </w:tc>
      </w:tr>
      <w:tr w:rsidR="00914005" w:rsidRPr="009E27AE" w14:paraId="4846403D" w14:textId="77777777" w:rsidTr="00413365">
        <w:tc>
          <w:tcPr>
            <w:tcW w:w="9778" w:type="dxa"/>
          </w:tcPr>
          <w:p w14:paraId="24B3505C" w14:textId="77777777" w:rsidR="00BD6623" w:rsidRPr="009E27AE" w:rsidRDefault="00BD6623" w:rsidP="00BD6623">
            <w:pPr>
              <w:jc w:val="both"/>
              <w:rPr>
                <w:rFonts w:cstheme="minorHAnsi"/>
              </w:rPr>
            </w:pPr>
            <w:r w:rsidRPr="009E27AE">
              <w:rPr>
                <w:rFonts w:cstheme="minorHAnsi"/>
              </w:rPr>
              <w:t>Le contrat oblige ceux qui ont contracté au même titre qu’une loi s’impose à toute personne </w:t>
            </w:r>
            <w:r w:rsidR="00413365" w:rsidRPr="009E27AE">
              <w:rPr>
                <w:rFonts w:cstheme="minorHAnsi"/>
              </w:rPr>
              <w:t xml:space="preserve">concernée </w:t>
            </w:r>
            <w:r w:rsidRPr="009E27AE">
              <w:rPr>
                <w:rFonts w:cstheme="minorHAnsi"/>
              </w:rPr>
              <w:t>: il a donc une force obligatoire.</w:t>
            </w:r>
          </w:p>
          <w:p w14:paraId="0E1EA255" w14:textId="77777777" w:rsidR="00914005" w:rsidRPr="009E27AE" w:rsidRDefault="00BD6623" w:rsidP="000C3153">
            <w:pPr>
              <w:jc w:val="both"/>
              <w:rPr>
                <w:rFonts w:cstheme="minorHAnsi"/>
                <w:color w:val="E36C0A" w:themeColor="accent6" w:themeShade="BF"/>
                <w:sz w:val="24"/>
                <w:szCs w:val="24"/>
              </w:rPr>
            </w:pPr>
            <w:r w:rsidRPr="009E27AE">
              <w:rPr>
                <w:rFonts w:cstheme="minorHAnsi"/>
              </w:rPr>
              <w:t xml:space="preserve">La bonne foi peut être définie, au sens juridique, comme </w:t>
            </w:r>
            <w:r w:rsidR="00FA3263" w:rsidRPr="009E27AE">
              <w:rPr>
                <w:rFonts w:cstheme="minorHAnsi"/>
              </w:rPr>
              <w:t xml:space="preserve">la </w:t>
            </w:r>
            <w:r w:rsidR="00413365" w:rsidRPr="009E27AE">
              <w:rPr>
                <w:rFonts w:cstheme="minorHAnsi"/>
              </w:rPr>
              <w:t>conviction</w:t>
            </w:r>
            <w:r w:rsidR="00FA3263" w:rsidRPr="009E27AE">
              <w:rPr>
                <w:rFonts w:cstheme="minorHAnsi"/>
              </w:rPr>
              <w:t xml:space="preserve"> </w:t>
            </w:r>
            <w:r w:rsidR="00413365" w:rsidRPr="009E27AE">
              <w:rPr>
                <w:rFonts w:cstheme="minorHAnsi"/>
              </w:rPr>
              <w:t xml:space="preserve">qu’a </w:t>
            </w:r>
            <w:r w:rsidR="00FA3263" w:rsidRPr="009E27AE">
              <w:rPr>
                <w:rFonts w:cstheme="minorHAnsi"/>
              </w:rPr>
              <w:t xml:space="preserve">une personne, dans une situation donnée, d’être en conformité au droit et d’agir </w:t>
            </w:r>
            <w:r w:rsidR="00413365" w:rsidRPr="009E27AE">
              <w:rPr>
                <w:rFonts w:cstheme="minorHAnsi"/>
              </w:rPr>
              <w:t xml:space="preserve">honnêtement </w:t>
            </w:r>
            <w:r w:rsidRPr="009E27AE">
              <w:rPr>
                <w:rFonts w:cstheme="minorHAnsi"/>
              </w:rPr>
              <w:t xml:space="preserve">sans </w:t>
            </w:r>
            <w:r w:rsidR="00413365" w:rsidRPr="009E27AE">
              <w:rPr>
                <w:rFonts w:cstheme="minorHAnsi"/>
              </w:rPr>
              <w:t xml:space="preserve">chercher à </w:t>
            </w:r>
            <w:r w:rsidRPr="009E27AE">
              <w:rPr>
                <w:rFonts w:cstheme="minorHAnsi"/>
              </w:rPr>
              <w:t xml:space="preserve">léser les droits d'autrui. </w:t>
            </w:r>
            <w:r w:rsidR="00413365" w:rsidRPr="009E27AE">
              <w:rPr>
                <w:rFonts w:cstheme="minorHAnsi"/>
              </w:rPr>
              <w:t xml:space="preserve">La bonne foi doit exister </w:t>
            </w:r>
            <w:r w:rsidRPr="009E27AE">
              <w:rPr>
                <w:rFonts w:cstheme="minorHAnsi"/>
              </w:rPr>
              <w:t xml:space="preserve">dans la </w:t>
            </w:r>
            <w:r w:rsidR="00413365" w:rsidRPr="009E27AE">
              <w:rPr>
                <w:rFonts w:cstheme="minorHAnsi"/>
              </w:rPr>
              <w:t xml:space="preserve">négociation, dans </w:t>
            </w:r>
            <w:r w:rsidRPr="009E27AE">
              <w:rPr>
                <w:rFonts w:cstheme="minorHAnsi"/>
              </w:rPr>
              <w:t>formation et</w:t>
            </w:r>
            <w:r w:rsidR="00413365" w:rsidRPr="009E27AE">
              <w:rPr>
                <w:rFonts w:cstheme="minorHAnsi"/>
              </w:rPr>
              <w:t xml:space="preserve"> dans</w:t>
            </w:r>
            <w:r w:rsidRPr="009E27AE">
              <w:rPr>
                <w:rFonts w:cstheme="minorHAnsi"/>
              </w:rPr>
              <w:t xml:space="preserve"> l'exécution du contrat</w:t>
            </w:r>
            <w:r w:rsidR="00413365" w:rsidRPr="009E27AE">
              <w:rPr>
                <w:rFonts w:cstheme="minorHAnsi"/>
              </w:rPr>
              <w:t>.</w:t>
            </w:r>
          </w:p>
        </w:tc>
      </w:tr>
    </w:tbl>
    <w:bookmarkEnd w:id="1"/>
    <w:p w14:paraId="75408966" w14:textId="77777777" w:rsidR="002B3D7F" w:rsidRPr="009E27AE" w:rsidRDefault="002B3D7F" w:rsidP="001676D7">
      <w:pPr>
        <w:pStyle w:val="Paragraphedeliste"/>
        <w:numPr>
          <w:ilvl w:val="0"/>
          <w:numId w:val="8"/>
        </w:numPr>
        <w:spacing w:after="0" w:line="240" w:lineRule="auto"/>
        <w:ind w:left="284" w:hanging="284"/>
        <w:rPr>
          <w:rFonts w:eastAsia="Calibri" w:cstheme="minorHAnsi"/>
          <w:b/>
          <w:caps/>
          <w:color w:val="4F6228" w:themeColor="accent3" w:themeShade="80"/>
          <w:sz w:val="26"/>
          <w:szCs w:val="26"/>
          <w:u w:val="single"/>
        </w:rPr>
      </w:pPr>
      <w:r w:rsidRPr="009E27AE">
        <w:rPr>
          <w:rFonts w:eastAsia="Calibri" w:cstheme="minorHAnsi"/>
          <w:b/>
          <w:caps/>
          <w:color w:val="4F6228" w:themeColor="accent3" w:themeShade="80"/>
          <w:sz w:val="26"/>
          <w:szCs w:val="26"/>
          <w:u w:val="single"/>
        </w:rPr>
        <w:lastRenderedPageBreak/>
        <w:t>La conclusion du contrat entre les parties</w:t>
      </w:r>
    </w:p>
    <w:p w14:paraId="47E409C3" w14:textId="77777777" w:rsidR="00540D41" w:rsidRPr="009E27AE" w:rsidRDefault="00540D41" w:rsidP="00540D41">
      <w:pPr>
        <w:spacing w:after="0" w:line="240" w:lineRule="auto"/>
        <w:rPr>
          <w:rFonts w:eastAsia="Calibri" w:cstheme="minorHAnsi"/>
          <w:b/>
          <w:caps/>
          <w:sz w:val="24"/>
          <w:szCs w:val="24"/>
        </w:rPr>
      </w:pPr>
    </w:p>
    <w:p w14:paraId="1257537C" w14:textId="77777777" w:rsidR="002B3D7F" w:rsidRPr="009E27AE" w:rsidRDefault="002B3D7F" w:rsidP="00653FBB">
      <w:pPr>
        <w:numPr>
          <w:ilvl w:val="0"/>
          <w:numId w:val="32"/>
        </w:numPr>
        <w:spacing w:after="0" w:line="240" w:lineRule="auto"/>
        <w:ind w:left="284" w:hanging="284"/>
        <w:contextualSpacing/>
        <w:rPr>
          <w:rFonts w:eastAsia="Calibri" w:cstheme="minorHAnsi"/>
          <w:b/>
          <w:color w:val="76923C" w:themeColor="accent3" w:themeShade="BF"/>
          <w:sz w:val="26"/>
          <w:szCs w:val="26"/>
          <w:u w:val="single"/>
        </w:rPr>
      </w:pPr>
      <w:r w:rsidRPr="009E27AE">
        <w:rPr>
          <w:rFonts w:eastAsia="Calibri" w:cstheme="minorHAnsi"/>
          <w:b/>
          <w:color w:val="76923C" w:themeColor="accent3" w:themeShade="BF"/>
          <w:sz w:val="26"/>
          <w:szCs w:val="26"/>
          <w:u w:val="single"/>
        </w:rPr>
        <w:t>L’existence de négociations</w:t>
      </w:r>
      <w:r w:rsidR="00496C38" w:rsidRPr="009E27AE">
        <w:rPr>
          <w:rFonts w:eastAsia="Calibri" w:cstheme="minorHAnsi"/>
          <w:b/>
          <w:color w:val="76923C" w:themeColor="accent3" w:themeShade="BF"/>
          <w:sz w:val="26"/>
          <w:szCs w:val="26"/>
          <w:u w:val="single"/>
        </w:rPr>
        <w:t xml:space="preserve"> préalables</w:t>
      </w:r>
    </w:p>
    <w:p w14:paraId="3B2A8720" w14:textId="77777777" w:rsidR="00323090" w:rsidRPr="009E27AE" w:rsidRDefault="00323090" w:rsidP="00323090">
      <w:pPr>
        <w:spacing w:after="0" w:line="240" w:lineRule="auto"/>
        <w:ind w:left="284"/>
        <w:contextualSpacing/>
        <w:rPr>
          <w:rFonts w:eastAsia="Calibri" w:cstheme="minorHAnsi"/>
          <w:b/>
          <w:sz w:val="24"/>
          <w:szCs w:val="24"/>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628"/>
      </w:tblGrid>
      <w:tr w:rsidR="006443AA" w:rsidRPr="009E27AE" w14:paraId="221A56A5" w14:textId="77777777" w:rsidTr="000313EE">
        <w:tc>
          <w:tcPr>
            <w:tcW w:w="9778" w:type="dxa"/>
          </w:tcPr>
          <w:p w14:paraId="698EB09D" w14:textId="77777777" w:rsidR="006443AA" w:rsidRPr="009E27AE" w:rsidRDefault="006443AA" w:rsidP="006443AA">
            <w:pPr>
              <w:pStyle w:val="Titre1"/>
              <w:spacing w:before="0" w:after="120"/>
              <w:rPr>
                <w:rFonts w:asciiTheme="minorHAnsi" w:hAnsiTheme="minorHAnsi" w:cstheme="minorHAnsi"/>
              </w:rPr>
            </w:pPr>
            <w:bookmarkStart w:id="2" w:name="_Toc507366208"/>
            <w:r w:rsidRPr="009E27AE">
              <w:rPr>
                <w:rFonts w:asciiTheme="minorHAnsi" w:hAnsiTheme="minorHAnsi" w:cstheme="minorHAnsi"/>
                <w:color w:val="E36C0A" w:themeColor="accent6" w:themeShade="BF"/>
                <w:sz w:val="24"/>
                <w:szCs w:val="24"/>
              </w:rPr>
              <w:t>Ressource 4 - La liberté de négociation</w:t>
            </w:r>
            <w:bookmarkEnd w:id="2"/>
          </w:p>
        </w:tc>
      </w:tr>
      <w:tr w:rsidR="006443AA" w:rsidRPr="009E27AE" w14:paraId="3673EF97" w14:textId="77777777" w:rsidTr="000313EE">
        <w:tc>
          <w:tcPr>
            <w:tcW w:w="9778" w:type="dxa"/>
          </w:tcPr>
          <w:p w14:paraId="677AC916" w14:textId="77777777" w:rsidR="006443AA" w:rsidRPr="009E27AE" w:rsidRDefault="006443AA" w:rsidP="006443AA">
            <w:pPr>
              <w:jc w:val="both"/>
              <w:rPr>
                <w:rFonts w:cstheme="minorHAnsi"/>
                <w:color w:val="E36C0A" w:themeColor="accent6" w:themeShade="BF"/>
              </w:rPr>
            </w:pPr>
            <w:r w:rsidRPr="009E27AE">
              <w:rPr>
                <w:rFonts w:cstheme="minorHAnsi"/>
                <w:b/>
                <w:color w:val="E36C0A" w:themeColor="accent6" w:themeShade="BF"/>
              </w:rPr>
              <w:t>Art. 1112.</w:t>
            </w:r>
            <w:r w:rsidRPr="009E27AE">
              <w:rPr>
                <w:rFonts w:cstheme="minorHAnsi"/>
                <w:color w:val="E36C0A" w:themeColor="accent6" w:themeShade="BF"/>
              </w:rPr>
              <w:t>- L’initiative, le déroulement et la rupture des négociations précontractuelles sont libres. Ils doivent impérativement satisfaire aux exigences de la bonne foi.</w:t>
            </w:r>
          </w:p>
          <w:p w14:paraId="6C814654" w14:textId="77777777" w:rsidR="006443AA" w:rsidRPr="009E27AE" w:rsidRDefault="006443AA" w:rsidP="00E14372">
            <w:pPr>
              <w:spacing w:after="240"/>
              <w:jc w:val="both"/>
              <w:rPr>
                <w:rFonts w:cstheme="minorHAnsi"/>
              </w:rPr>
            </w:pPr>
            <w:r w:rsidRPr="009E27AE">
              <w:rPr>
                <w:rFonts w:cstheme="minorHAnsi"/>
                <w:color w:val="E36C0A" w:themeColor="accent6" w:themeShade="BF"/>
              </w:rPr>
              <w:t>En cas de faute commise dans les négociations, la réparation du préjudice qui en résulte ne peut avoir pour objet de compenser la perte des avantages attendus du contrat non conclu.</w:t>
            </w:r>
          </w:p>
        </w:tc>
      </w:tr>
      <w:tr w:rsidR="006443AA" w:rsidRPr="009E27AE" w14:paraId="081F9591" w14:textId="77777777" w:rsidTr="000313EE">
        <w:tc>
          <w:tcPr>
            <w:tcW w:w="9778" w:type="dxa"/>
          </w:tcPr>
          <w:p w14:paraId="18BB3D10" w14:textId="77777777" w:rsidR="00F91B30" w:rsidRPr="009E27AE" w:rsidRDefault="00F91B30" w:rsidP="00F91B30">
            <w:pPr>
              <w:tabs>
                <w:tab w:val="left" w:pos="6490"/>
              </w:tabs>
              <w:jc w:val="both"/>
              <w:rPr>
                <w:rFonts w:cstheme="minorHAnsi"/>
              </w:rPr>
            </w:pPr>
            <w:r w:rsidRPr="009E27AE">
              <w:rPr>
                <w:rFonts w:cstheme="minorHAnsi"/>
              </w:rPr>
              <w:t>Les personnes qui négocient ne sont jamais contraintes d'aller jusqu'à la conclusion d'un contrat (</w:t>
            </w:r>
            <w:r w:rsidR="000313EE" w:rsidRPr="009E27AE">
              <w:rPr>
                <w:rFonts w:cstheme="minorHAnsi"/>
              </w:rPr>
              <w:t xml:space="preserve">cf. </w:t>
            </w:r>
            <w:r w:rsidRPr="009E27AE">
              <w:rPr>
                <w:rFonts w:cstheme="minorHAnsi"/>
              </w:rPr>
              <w:t>Art. 1102.)</w:t>
            </w:r>
            <w:r w:rsidR="000313EE" w:rsidRPr="009E27AE">
              <w:rPr>
                <w:rFonts w:cstheme="minorHAnsi"/>
              </w:rPr>
              <w:t>. En outre,</w:t>
            </w:r>
            <w:r w:rsidRPr="009E27AE">
              <w:rPr>
                <w:rFonts w:cstheme="minorHAnsi"/>
              </w:rPr>
              <w:t xml:space="preserve"> les négociations doivent</w:t>
            </w:r>
            <w:r w:rsidR="000313EE" w:rsidRPr="009E27AE">
              <w:rPr>
                <w:rFonts w:cstheme="minorHAnsi"/>
              </w:rPr>
              <w:t xml:space="preserve"> toujours</w:t>
            </w:r>
            <w:r w:rsidRPr="009E27AE">
              <w:rPr>
                <w:rFonts w:cstheme="minorHAnsi"/>
              </w:rPr>
              <w:t xml:space="preserve"> satisfaire </w:t>
            </w:r>
            <w:r w:rsidR="000313EE" w:rsidRPr="009E27AE">
              <w:rPr>
                <w:rFonts w:cstheme="minorHAnsi"/>
              </w:rPr>
              <w:t xml:space="preserve">aux </w:t>
            </w:r>
            <w:r w:rsidRPr="009E27AE">
              <w:rPr>
                <w:rFonts w:cstheme="minorHAnsi"/>
              </w:rPr>
              <w:t>exigences de la bonne foi (</w:t>
            </w:r>
            <w:r w:rsidR="000313EE" w:rsidRPr="009E27AE">
              <w:rPr>
                <w:rFonts w:cstheme="minorHAnsi"/>
              </w:rPr>
              <w:t xml:space="preserve">cf. </w:t>
            </w:r>
            <w:r w:rsidRPr="009E27AE">
              <w:rPr>
                <w:rFonts w:cstheme="minorHAnsi"/>
              </w:rPr>
              <w:t>Art. 1104.)</w:t>
            </w:r>
          </w:p>
          <w:p w14:paraId="6222540B" w14:textId="77777777" w:rsidR="00F91B30" w:rsidRPr="009E27AE" w:rsidRDefault="000313EE" w:rsidP="00F91B30">
            <w:pPr>
              <w:tabs>
                <w:tab w:val="left" w:pos="6490"/>
              </w:tabs>
              <w:jc w:val="both"/>
              <w:rPr>
                <w:rFonts w:cstheme="minorHAnsi"/>
              </w:rPr>
            </w:pPr>
            <w:r w:rsidRPr="009E27AE">
              <w:rPr>
                <w:rFonts w:cstheme="minorHAnsi"/>
              </w:rPr>
              <w:t>Un</w:t>
            </w:r>
            <w:r w:rsidR="00F91B30" w:rsidRPr="009E27AE">
              <w:rPr>
                <w:rFonts w:cstheme="minorHAnsi"/>
              </w:rPr>
              <w:t xml:space="preserve"> négociateur</w:t>
            </w:r>
            <w:r w:rsidRPr="009E27AE">
              <w:rPr>
                <w:rFonts w:cstheme="minorHAnsi"/>
              </w:rPr>
              <w:t xml:space="preserve"> qui</w:t>
            </w:r>
            <w:r w:rsidR="00F91B30" w:rsidRPr="009E27AE">
              <w:rPr>
                <w:rFonts w:cstheme="minorHAnsi"/>
              </w:rPr>
              <w:t xml:space="preserve"> n'est pas de bonne foi commet une faute. </w:t>
            </w:r>
            <w:r w:rsidRPr="009E27AE">
              <w:rPr>
                <w:rFonts w:cstheme="minorHAnsi"/>
              </w:rPr>
              <w:t xml:space="preserve">Cette faute peut être </w:t>
            </w:r>
            <w:r w:rsidR="00F91B30" w:rsidRPr="009E27AE">
              <w:rPr>
                <w:rFonts w:cstheme="minorHAnsi"/>
              </w:rPr>
              <w:t>constaté</w:t>
            </w:r>
            <w:r w:rsidRPr="009E27AE">
              <w:rPr>
                <w:rFonts w:cstheme="minorHAnsi"/>
              </w:rPr>
              <w:t>e</w:t>
            </w:r>
            <w:r w:rsidR="00F91B30" w:rsidRPr="009E27AE">
              <w:rPr>
                <w:rFonts w:cstheme="minorHAnsi"/>
              </w:rPr>
              <w:t xml:space="preserve"> dans toutes les phases de la négociation : </w:t>
            </w:r>
          </w:p>
          <w:p w14:paraId="59FF23E7" w14:textId="77777777" w:rsidR="00F91B30" w:rsidRPr="009E27AE" w:rsidRDefault="00F91B30" w:rsidP="00F91B30">
            <w:pPr>
              <w:pStyle w:val="Paragraphedeliste"/>
              <w:numPr>
                <w:ilvl w:val="0"/>
                <w:numId w:val="16"/>
              </w:numPr>
              <w:tabs>
                <w:tab w:val="left" w:pos="6490"/>
              </w:tabs>
              <w:ind w:left="284" w:hanging="284"/>
              <w:jc w:val="both"/>
              <w:rPr>
                <w:rFonts w:cstheme="minorHAnsi"/>
              </w:rPr>
            </w:pPr>
            <w:r w:rsidRPr="009E27AE">
              <w:rPr>
                <w:rFonts w:cstheme="minorHAnsi"/>
                <w:i/>
              </w:rPr>
              <w:t>lors de l’entrée en pourparlers</w:t>
            </w:r>
            <w:r w:rsidRPr="009E27AE">
              <w:rPr>
                <w:rFonts w:cstheme="minorHAnsi"/>
              </w:rPr>
              <w:t xml:space="preserve"> si une personne prend l'initiative d'une négociation alors qu’il n’a pas l'intention de conclure ;</w:t>
            </w:r>
          </w:p>
          <w:p w14:paraId="2C114310" w14:textId="77777777" w:rsidR="00F91B30" w:rsidRPr="009E27AE" w:rsidRDefault="00F91B30" w:rsidP="00F91B30">
            <w:pPr>
              <w:pStyle w:val="Paragraphedeliste"/>
              <w:numPr>
                <w:ilvl w:val="0"/>
                <w:numId w:val="16"/>
              </w:numPr>
              <w:tabs>
                <w:tab w:val="left" w:pos="6490"/>
              </w:tabs>
              <w:ind w:left="284" w:hanging="284"/>
              <w:jc w:val="both"/>
              <w:rPr>
                <w:rFonts w:cstheme="minorHAnsi"/>
              </w:rPr>
            </w:pPr>
            <w:r w:rsidRPr="009E27AE">
              <w:rPr>
                <w:rFonts w:cstheme="minorHAnsi"/>
                <w:i/>
              </w:rPr>
              <w:t>lors du déroulement des négociations</w:t>
            </w:r>
            <w:r w:rsidRPr="009E27AE">
              <w:rPr>
                <w:rFonts w:cstheme="minorHAnsi"/>
              </w:rPr>
              <w:t xml:space="preserve"> si un négociateur laisse croire à son partenaire qu'il envisage toujours la conclusion du contrat, alors </w:t>
            </w:r>
            <w:r w:rsidR="000313EE" w:rsidRPr="009E27AE">
              <w:rPr>
                <w:rFonts w:cstheme="minorHAnsi"/>
              </w:rPr>
              <w:t>qu’il n’en a pas l’intention</w:t>
            </w:r>
            <w:r w:rsidRPr="009E27AE">
              <w:rPr>
                <w:rFonts w:cstheme="minorHAnsi"/>
              </w:rPr>
              <w:t xml:space="preserve"> ;</w:t>
            </w:r>
          </w:p>
          <w:p w14:paraId="2D46971A" w14:textId="77777777" w:rsidR="006443AA" w:rsidRPr="009E27AE" w:rsidRDefault="00F91B30" w:rsidP="000313EE">
            <w:pPr>
              <w:pStyle w:val="Paragraphedeliste"/>
              <w:numPr>
                <w:ilvl w:val="0"/>
                <w:numId w:val="16"/>
              </w:numPr>
              <w:tabs>
                <w:tab w:val="left" w:pos="6490"/>
              </w:tabs>
              <w:ind w:left="284" w:hanging="284"/>
              <w:jc w:val="both"/>
              <w:rPr>
                <w:rFonts w:cstheme="minorHAnsi"/>
              </w:rPr>
            </w:pPr>
            <w:r w:rsidRPr="009E27AE">
              <w:rPr>
                <w:rFonts w:cstheme="minorHAnsi"/>
                <w:i/>
              </w:rPr>
              <w:t>lors de la rupture des pourparlers</w:t>
            </w:r>
            <w:r w:rsidR="000313EE" w:rsidRPr="009E27AE">
              <w:rPr>
                <w:rFonts w:cstheme="minorHAnsi"/>
              </w:rPr>
              <w:t xml:space="preserve"> si un négociateur agit avec brutalité ou soudaineté pour rompre les négociations.</w:t>
            </w:r>
          </w:p>
        </w:tc>
      </w:tr>
    </w:tbl>
    <w:p w14:paraId="3EB99C57" w14:textId="77777777" w:rsidR="006443AA" w:rsidRPr="009E27AE" w:rsidRDefault="006443AA" w:rsidP="00653FBB">
      <w:pPr>
        <w:tabs>
          <w:tab w:val="left" w:pos="6490"/>
        </w:tabs>
        <w:spacing w:after="0" w:line="240" w:lineRule="auto"/>
        <w:jc w:val="both"/>
        <w:rPr>
          <w:rFonts w:cstheme="minorHAnsi"/>
        </w:rPr>
      </w:pPr>
    </w:p>
    <w:p w14:paraId="71AF8613" w14:textId="77777777" w:rsidR="00A61922" w:rsidRPr="009E27AE" w:rsidRDefault="00A61922" w:rsidP="00653FBB">
      <w:pPr>
        <w:tabs>
          <w:tab w:val="left" w:pos="6490"/>
        </w:tabs>
        <w:spacing w:after="0" w:line="240" w:lineRule="auto"/>
        <w:jc w:val="both"/>
        <w:rPr>
          <w:rFonts w:cstheme="minorHAnsi"/>
        </w:rPr>
      </w:pPr>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9628"/>
      </w:tblGrid>
      <w:tr w:rsidR="004240D0" w:rsidRPr="009E27AE" w14:paraId="1D3FA320" w14:textId="77777777" w:rsidTr="00E14372">
        <w:tc>
          <w:tcPr>
            <w:tcW w:w="9778" w:type="dxa"/>
          </w:tcPr>
          <w:p w14:paraId="75B78A40" w14:textId="77777777" w:rsidR="004240D0" w:rsidRPr="009E27AE" w:rsidRDefault="004240D0" w:rsidP="004240D0">
            <w:pPr>
              <w:pStyle w:val="Titre1"/>
              <w:spacing w:before="0" w:after="120"/>
              <w:rPr>
                <w:rFonts w:asciiTheme="minorHAnsi" w:hAnsiTheme="minorHAnsi" w:cstheme="minorHAnsi"/>
                <w:color w:val="E36C0A" w:themeColor="accent6" w:themeShade="BF"/>
                <w:sz w:val="24"/>
                <w:szCs w:val="24"/>
              </w:rPr>
            </w:pPr>
            <w:bookmarkStart w:id="3" w:name="_Toc507366209"/>
            <w:r w:rsidRPr="009E27AE">
              <w:rPr>
                <w:rFonts w:asciiTheme="minorHAnsi" w:hAnsiTheme="minorHAnsi" w:cstheme="minorHAnsi"/>
                <w:color w:val="E36C0A" w:themeColor="accent6" w:themeShade="BF"/>
                <w:sz w:val="24"/>
                <w:szCs w:val="24"/>
              </w:rPr>
              <w:t>Ressource 5 - Le devoir général d’information</w:t>
            </w:r>
          </w:p>
        </w:tc>
      </w:tr>
      <w:tr w:rsidR="004240D0" w:rsidRPr="009E27AE" w14:paraId="135B8856" w14:textId="77777777" w:rsidTr="00E14372">
        <w:tc>
          <w:tcPr>
            <w:tcW w:w="9778" w:type="dxa"/>
          </w:tcPr>
          <w:p w14:paraId="2D61CF6E" w14:textId="77777777" w:rsidR="004240D0" w:rsidRPr="009E27AE" w:rsidRDefault="004240D0" w:rsidP="004240D0">
            <w:pPr>
              <w:jc w:val="both"/>
              <w:rPr>
                <w:rFonts w:cstheme="minorHAnsi"/>
                <w:color w:val="E36C0A" w:themeColor="accent6" w:themeShade="BF"/>
              </w:rPr>
            </w:pPr>
            <w:r w:rsidRPr="009E27AE">
              <w:rPr>
                <w:rFonts w:cstheme="minorHAnsi"/>
                <w:b/>
                <w:color w:val="E36C0A" w:themeColor="accent6" w:themeShade="BF"/>
              </w:rPr>
              <w:t xml:space="preserve">Art. 1112-1.- </w:t>
            </w:r>
            <w:r w:rsidRPr="009E27AE">
              <w:rPr>
                <w:rFonts w:cstheme="minorHAnsi"/>
                <w:color w:val="E36C0A" w:themeColor="accent6" w:themeShade="BF"/>
              </w:rPr>
              <w:t>Celle des parties qui connaît une information dont l’importance est déterminante pour le consentement de l’autre doit l’en informer dès lors que, légitimement, cette dernière ignore cette information ou fait confiance à son cocontractant. […]</w:t>
            </w:r>
          </w:p>
          <w:p w14:paraId="1C5F6968" w14:textId="77777777" w:rsidR="004240D0" w:rsidRPr="009E27AE" w:rsidRDefault="004240D0" w:rsidP="00E14372">
            <w:pPr>
              <w:spacing w:after="240"/>
              <w:jc w:val="both"/>
              <w:rPr>
                <w:rFonts w:cstheme="minorHAnsi"/>
                <w:color w:val="E36C0A" w:themeColor="accent6" w:themeShade="BF"/>
                <w:sz w:val="24"/>
                <w:szCs w:val="24"/>
              </w:rPr>
            </w:pPr>
            <w:r w:rsidRPr="009E27AE">
              <w:rPr>
                <w:rFonts w:cstheme="minorHAnsi"/>
                <w:color w:val="E36C0A" w:themeColor="accent6" w:themeShade="BF"/>
              </w:rPr>
              <w:t>Ont une importance déterminante les informations qui ont un lien direct et nécessaire avec le contenu du contrat ou la qualité des parties.</w:t>
            </w:r>
          </w:p>
        </w:tc>
      </w:tr>
      <w:tr w:rsidR="004240D0" w:rsidRPr="009E27AE" w14:paraId="533AA4FE" w14:textId="77777777" w:rsidTr="00E14372">
        <w:tc>
          <w:tcPr>
            <w:tcW w:w="9778" w:type="dxa"/>
          </w:tcPr>
          <w:p w14:paraId="3989FEA5" w14:textId="77777777" w:rsidR="004240D0" w:rsidRPr="009E27AE" w:rsidRDefault="004240D0" w:rsidP="004240D0">
            <w:pPr>
              <w:tabs>
                <w:tab w:val="left" w:pos="6490"/>
              </w:tabs>
              <w:jc w:val="both"/>
              <w:rPr>
                <w:rFonts w:cstheme="minorHAnsi"/>
              </w:rPr>
            </w:pPr>
            <w:r w:rsidRPr="009E27AE">
              <w:rPr>
                <w:rFonts w:cstheme="minorHAnsi"/>
              </w:rPr>
              <w:t xml:space="preserve">Celui qui connaît une information de nature à influencer le consentement de l’autre lors de la négociation ou de la formation doit en informer l’autre. Peu importe donc la position du contractant, qu’il soit par exemple acheteur ou vendeur. </w:t>
            </w:r>
          </w:p>
          <w:p w14:paraId="7DFACAA4" w14:textId="77777777" w:rsidR="004240D0" w:rsidRPr="009E27AE" w:rsidRDefault="004240D0" w:rsidP="004240D0">
            <w:pPr>
              <w:tabs>
                <w:tab w:val="left" w:pos="6490"/>
              </w:tabs>
              <w:jc w:val="both"/>
              <w:rPr>
                <w:rFonts w:cstheme="minorHAnsi"/>
              </w:rPr>
            </w:pPr>
            <w:r w:rsidRPr="009E27AE">
              <w:rPr>
                <w:rFonts w:cstheme="minorHAnsi"/>
              </w:rPr>
              <w:t>Les informations importantes sont celles qui ont un lien direct et nécessaire avec le contenu du contrat ou la qualité des parties. […]</w:t>
            </w:r>
          </w:p>
          <w:p w14:paraId="193CF974" w14:textId="77777777" w:rsidR="004240D0" w:rsidRPr="009E27AE" w:rsidRDefault="004240D0" w:rsidP="00A61922">
            <w:pPr>
              <w:tabs>
                <w:tab w:val="left" w:pos="6490"/>
              </w:tabs>
              <w:jc w:val="both"/>
              <w:rPr>
                <w:rFonts w:cstheme="minorHAnsi"/>
              </w:rPr>
            </w:pPr>
            <w:r w:rsidRPr="009E27AE">
              <w:rPr>
                <w:rFonts w:cstheme="minorHAnsi"/>
              </w:rPr>
              <w:t>Le contractant doit néanmoins se renseigner lui-même auprès du contractant pour obtenir certaines informations. Le cas échéant, il incombe au contractant de prouver que l’autre ne lui a pas communiqué une information qu’il devait lui fournir. À charge pour l’autre de prouver qu’il lui a fourni cette information.</w:t>
            </w:r>
          </w:p>
        </w:tc>
      </w:tr>
    </w:tbl>
    <w:p w14:paraId="0BD8738D" w14:textId="77777777" w:rsidR="004240D0" w:rsidRPr="009E27AE" w:rsidRDefault="004240D0" w:rsidP="004240D0">
      <w:pPr>
        <w:pStyle w:val="Titre1"/>
        <w:spacing w:before="0" w:after="120" w:line="240" w:lineRule="auto"/>
        <w:rPr>
          <w:rFonts w:asciiTheme="minorHAnsi" w:hAnsiTheme="minorHAnsi" w:cstheme="minorHAnsi"/>
          <w:color w:val="E36C0A" w:themeColor="accent6" w:themeShade="BF"/>
          <w:sz w:val="24"/>
          <w:szCs w:val="24"/>
        </w:rPr>
      </w:pPr>
    </w:p>
    <w:bookmarkEnd w:id="3"/>
    <w:p w14:paraId="63C5A80F" w14:textId="77777777" w:rsidR="00A61922" w:rsidRPr="009E27AE" w:rsidRDefault="00A61922" w:rsidP="00A61922">
      <w:pPr>
        <w:spacing w:after="0" w:line="240" w:lineRule="auto"/>
        <w:ind w:right="-427"/>
        <w:jc w:val="both"/>
        <w:rPr>
          <w:rFonts w:eastAsia="Calibri" w:cstheme="minorHAnsi"/>
          <w:b/>
          <w:color w:val="548DD4" w:themeColor="text2" w:themeTint="99"/>
          <w:sz w:val="23"/>
          <w:szCs w:val="23"/>
        </w:rPr>
      </w:pPr>
    </w:p>
    <w:p w14:paraId="30CD2D94" w14:textId="77777777" w:rsidR="00A61922" w:rsidRPr="009E27AE" w:rsidRDefault="00A61922">
      <w:pPr>
        <w:rPr>
          <w:rFonts w:eastAsia="Calibri" w:cstheme="minorHAnsi"/>
          <w:b/>
          <w:color w:val="76923C" w:themeColor="accent3" w:themeShade="BF"/>
          <w:sz w:val="26"/>
          <w:szCs w:val="26"/>
          <w:u w:val="single"/>
        </w:rPr>
      </w:pPr>
      <w:bookmarkStart w:id="4" w:name="_Toc507366210"/>
      <w:r w:rsidRPr="009E27AE">
        <w:rPr>
          <w:rFonts w:eastAsia="Calibri" w:cstheme="minorHAnsi"/>
          <w:b/>
          <w:color w:val="76923C" w:themeColor="accent3" w:themeShade="BF"/>
          <w:sz w:val="26"/>
          <w:szCs w:val="26"/>
          <w:u w:val="single"/>
        </w:rPr>
        <w:br w:type="page"/>
      </w:r>
    </w:p>
    <w:p w14:paraId="4A5A5058" w14:textId="77777777" w:rsidR="00653FBB" w:rsidRPr="009E27AE" w:rsidRDefault="00653FBB" w:rsidP="00A61922">
      <w:pPr>
        <w:numPr>
          <w:ilvl w:val="0"/>
          <w:numId w:val="32"/>
        </w:numPr>
        <w:spacing w:after="0" w:line="240" w:lineRule="auto"/>
        <w:ind w:left="284" w:hanging="284"/>
        <w:contextualSpacing/>
        <w:rPr>
          <w:rFonts w:eastAsia="Calibri" w:cstheme="minorHAnsi"/>
          <w:b/>
          <w:color w:val="76923C" w:themeColor="accent3" w:themeShade="BF"/>
          <w:sz w:val="26"/>
          <w:szCs w:val="26"/>
          <w:u w:val="single"/>
        </w:rPr>
      </w:pPr>
      <w:r w:rsidRPr="009E27AE">
        <w:rPr>
          <w:rFonts w:eastAsia="Calibri" w:cstheme="minorHAnsi"/>
          <w:b/>
          <w:color w:val="76923C" w:themeColor="accent3" w:themeShade="BF"/>
          <w:sz w:val="26"/>
          <w:szCs w:val="26"/>
          <w:u w:val="single"/>
        </w:rPr>
        <w:lastRenderedPageBreak/>
        <w:t>La rencontre d’une offre et d’une acceptation</w:t>
      </w:r>
    </w:p>
    <w:p w14:paraId="05C9280C" w14:textId="77777777" w:rsidR="00F4105F" w:rsidRPr="009E27AE" w:rsidRDefault="00F4105F" w:rsidP="00F4105F">
      <w:pPr>
        <w:spacing w:after="0" w:line="240" w:lineRule="auto"/>
        <w:contextualSpacing/>
        <w:rPr>
          <w:rFonts w:eastAsia="Calibri" w:cstheme="minorHAnsi"/>
          <w:b/>
          <w:color w:val="76923C" w:themeColor="accent3" w:themeShade="BF"/>
          <w:sz w:val="26"/>
          <w:szCs w:val="26"/>
          <w:u w:val="single"/>
        </w:rPr>
      </w:pPr>
    </w:p>
    <w:tbl>
      <w:tblPr>
        <w:tblStyle w:val="Grilledutableau"/>
        <w:tblW w:w="0" w:type="auto"/>
        <w:tblInd w:w="-34" w:type="dxa"/>
        <w:tblBorders>
          <w:insideH w:val="none" w:sz="0" w:space="0" w:color="auto"/>
          <w:insideV w:val="none" w:sz="0" w:space="0" w:color="auto"/>
        </w:tblBorders>
        <w:tblLook w:val="04A0" w:firstRow="1" w:lastRow="0" w:firstColumn="1" w:lastColumn="0" w:noHBand="0" w:noVBand="1"/>
      </w:tblPr>
      <w:tblGrid>
        <w:gridCol w:w="9662"/>
      </w:tblGrid>
      <w:tr w:rsidR="00F4105F" w:rsidRPr="009E27AE" w14:paraId="7D7B3AA0" w14:textId="77777777" w:rsidTr="00622299">
        <w:tc>
          <w:tcPr>
            <w:tcW w:w="9888" w:type="dxa"/>
          </w:tcPr>
          <w:p w14:paraId="1112134D" w14:textId="77777777" w:rsidR="00F4105F" w:rsidRPr="009E27AE" w:rsidRDefault="00F4105F" w:rsidP="00F4105F">
            <w:pPr>
              <w:pStyle w:val="Titre1"/>
              <w:spacing w:before="0" w:after="120"/>
              <w:rPr>
                <w:rFonts w:asciiTheme="minorHAnsi" w:eastAsia="Calibri" w:hAnsiTheme="minorHAnsi" w:cstheme="minorHAnsi"/>
                <w:b w:val="0"/>
                <w:caps/>
                <w:sz w:val="24"/>
                <w:szCs w:val="24"/>
              </w:rPr>
            </w:pPr>
            <w:r w:rsidRPr="009E27AE">
              <w:rPr>
                <w:rFonts w:asciiTheme="minorHAnsi" w:hAnsiTheme="minorHAnsi" w:cstheme="minorHAnsi"/>
                <w:color w:val="E36C0A" w:themeColor="accent6" w:themeShade="BF"/>
                <w:sz w:val="24"/>
                <w:szCs w:val="24"/>
              </w:rPr>
              <w:t>R</w:t>
            </w:r>
            <w:r w:rsidR="009820B1" w:rsidRPr="009E27AE">
              <w:rPr>
                <w:rFonts w:asciiTheme="minorHAnsi" w:hAnsiTheme="minorHAnsi" w:cstheme="minorHAnsi"/>
                <w:color w:val="E36C0A" w:themeColor="accent6" w:themeShade="BF"/>
                <w:sz w:val="24"/>
                <w:szCs w:val="24"/>
              </w:rPr>
              <w:t>essource 6</w:t>
            </w:r>
            <w:r w:rsidRPr="009E27AE">
              <w:rPr>
                <w:rFonts w:asciiTheme="minorHAnsi" w:hAnsiTheme="minorHAnsi" w:cstheme="minorHAnsi"/>
                <w:color w:val="E36C0A" w:themeColor="accent6" w:themeShade="BF"/>
                <w:sz w:val="24"/>
                <w:szCs w:val="24"/>
              </w:rPr>
              <w:t xml:space="preserve"> - Les caractéristiques de l’offre</w:t>
            </w:r>
          </w:p>
        </w:tc>
      </w:tr>
      <w:tr w:rsidR="00F4105F" w:rsidRPr="009E27AE" w14:paraId="14CEEDAB" w14:textId="77777777" w:rsidTr="00622299">
        <w:tc>
          <w:tcPr>
            <w:tcW w:w="9888" w:type="dxa"/>
          </w:tcPr>
          <w:p w14:paraId="7B84FB2A" w14:textId="77777777" w:rsidR="00F4105F" w:rsidRPr="009E27AE" w:rsidRDefault="00F4105F" w:rsidP="009E5494">
            <w:pPr>
              <w:jc w:val="both"/>
              <w:rPr>
                <w:rFonts w:cstheme="minorHAnsi"/>
                <w:color w:val="E36C0A" w:themeColor="accent6" w:themeShade="BF"/>
              </w:rPr>
            </w:pPr>
            <w:r w:rsidRPr="009E27AE">
              <w:rPr>
                <w:rFonts w:cstheme="minorHAnsi"/>
                <w:b/>
                <w:color w:val="E36C0A" w:themeColor="accent6" w:themeShade="BF"/>
              </w:rPr>
              <w:t>Art. 1113.</w:t>
            </w:r>
            <w:r w:rsidRPr="009E27AE">
              <w:rPr>
                <w:rFonts w:cstheme="minorHAnsi"/>
                <w:color w:val="E36C0A" w:themeColor="accent6" w:themeShade="BF"/>
              </w:rPr>
              <w:t>- Le contrat est formé par la rencontre d’une offre et d’une acceptation par lesquelles les parties manifestent leur volonté de s’engager.</w:t>
            </w:r>
          </w:p>
          <w:p w14:paraId="37A481CE" w14:textId="77777777" w:rsidR="00F4105F" w:rsidRPr="009E27AE" w:rsidRDefault="00F4105F" w:rsidP="009E5494">
            <w:pPr>
              <w:jc w:val="both"/>
              <w:rPr>
                <w:rFonts w:cstheme="minorHAnsi"/>
                <w:color w:val="E36C0A" w:themeColor="accent6" w:themeShade="BF"/>
              </w:rPr>
            </w:pPr>
            <w:r w:rsidRPr="009E27AE">
              <w:rPr>
                <w:rFonts w:cstheme="minorHAnsi"/>
                <w:color w:val="E36C0A" w:themeColor="accent6" w:themeShade="BF"/>
              </w:rPr>
              <w:t>Cette volonté peut résulter d’une déclaration ou d’un comportement non équivoque de son auteur.</w:t>
            </w:r>
          </w:p>
          <w:p w14:paraId="3D1485F1" w14:textId="77777777" w:rsidR="00BE582D" w:rsidRPr="009E27AE" w:rsidRDefault="00F4105F" w:rsidP="00BE582D">
            <w:pPr>
              <w:jc w:val="both"/>
              <w:rPr>
                <w:rFonts w:cstheme="minorHAnsi"/>
                <w:b/>
                <w:color w:val="E36C0A" w:themeColor="accent6" w:themeShade="BF"/>
              </w:rPr>
            </w:pPr>
            <w:r w:rsidRPr="009E27AE">
              <w:rPr>
                <w:rFonts w:cstheme="minorHAnsi"/>
                <w:b/>
                <w:color w:val="E36C0A" w:themeColor="accent6" w:themeShade="BF"/>
              </w:rPr>
              <w:t>Art. 1114.</w:t>
            </w:r>
            <w:r w:rsidRPr="009E27AE">
              <w:rPr>
                <w:rFonts w:cstheme="minorHAnsi"/>
                <w:color w:val="E36C0A" w:themeColor="accent6" w:themeShade="BF"/>
              </w:rPr>
              <w:t xml:space="preserve">- L’offre, faite à personne déterminée ou indéterminée, comprend les éléments essentiels du contrat envisagé et exprime la volonté de son auteur d’être lié en cas d’acceptation. </w:t>
            </w:r>
            <w:r w:rsidR="009E5494" w:rsidRPr="009E27AE">
              <w:rPr>
                <w:rFonts w:cstheme="minorHAnsi"/>
                <w:color w:val="E36C0A" w:themeColor="accent6" w:themeShade="BF"/>
              </w:rPr>
              <w:t>À</w:t>
            </w:r>
            <w:r w:rsidRPr="009E27AE">
              <w:rPr>
                <w:rFonts w:cstheme="minorHAnsi"/>
                <w:color w:val="E36C0A" w:themeColor="accent6" w:themeShade="BF"/>
              </w:rPr>
              <w:t xml:space="preserve"> défaut, il y a seulement invitation à entrer en négociation.</w:t>
            </w:r>
          </w:p>
          <w:p w14:paraId="57633AAD" w14:textId="77777777" w:rsidR="00BE582D" w:rsidRPr="009E27AE" w:rsidRDefault="00BE582D" w:rsidP="00BE582D">
            <w:pPr>
              <w:jc w:val="both"/>
              <w:rPr>
                <w:rFonts w:eastAsia="Calibri" w:cstheme="minorHAnsi"/>
                <w:b/>
                <w:caps/>
                <w:sz w:val="24"/>
                <w:szCs w:val="24"/>
              </w:rPr>
            </w:pPr>
          </w:p>
        </w:tc>
      </w:tr>
      <w:tr w:rsidR="00F4105F" w:rsidRPr="009E27AE" w14:paraId="2F74FDBF" w14:textId="77777777" w:rsidTr="00622299">
        <w:tc>
          <w:tcPr>
            <w:tcW w:w="9888" w:type="dxa"/>
          </w:tcPr>
          <w:p w14:paraId="61808565" w14:textId="77777777" w:rsidR="009E5494" w:rsidRPr="009E27AE" w:rsidRDefault="009E5494" w:rsidP="009E5494">
            <w:pPr>
              <w:tabs>
                <w:tab w:val="left" w:pos="6490"/>
              </w:tabs>
              <w:jc w:val="both"/>
              <w:rPr>
                <w:rFonts w:cstheme="minorHAnsi"/>
              </w:rPr>
            </w:pPr>
            <w:r w:rsidRPr="009E27AE">
              <w:rPr>
                <w:rFonts w:cstheme="minorHAnsi"/>
              </w:rPr>
              <w:t>Un contrat se forme par la rencontre d’une offre et de l’acceptation de cette offre. L’offre peut être adressée à une personne explicitement désignée ou à des personnes indéterminées c’est-à-dire non explicitement désignées. On parle alors de pollicitation : le simple fait de présenter un produit en vitrine ou de le faire apparaître sur un catalogue vaut offre de vente.</w:t>
            </w:r>
          </w:p>
          <w:p w14:paraId="1A8A7073" w14:textId="77777777" w:rsidR="009E5494" w:rsidRPr="009E27AE" w:rsidRDefault="009E5494" w:rsidP="009E5494">
            <w:pPr>
              <w:tabs>
                <w:tab w:val="left" w:pos="6490"/>
              </w:tabs>
              <w:jc w:val="both"/>
              <w:rPr>
                <w:rFonts w:cstheme="minorHAnsi"/>
              </w:rPr>
            </w:pPr>
            <w:r w:rsidRPr="009E27AE">
              <w:rPr>
                <w:rFonts w:cstheme="minorHAnsi"/>
              </w:rPr>
              <w:t>Il convient pourtant de distinguer une offre d’une invitation à entrer en pourparlers. C’est pourquoi, l’offre :</w:t>
            </w:r>
          </w:p>
          <w:p w14:paraId="4C08AFD0" w14:textId="77777777" w:rsidR="009E5494" w:rsidRPr="009E27AE" w:rsidRDefault="009E5494" w:rsidP="009E5494">
            <w:pPr>
              <w:pStyle w:val="Paragraphedeliste"/>
              <w:numPr>
                <w:ilvl w:val="0"/>
                <w:numId w:val="16"/>
              </w:numPr>
              <w:tabs>
                <w:tab w:val="left" w:pos="6490"/>
              </w:tabs>
              <w:ind w:left="284" w:hanging="284"/>
              <w:jc w:val="both"/>
              <w:rPr>
                <w:rFonts w:cstheme="minorHAnsi"/>
              </w:rPr>
            </w:pPr>
            <w:r w:rsidRPr="009E27AE">
              <w:rPr>
                <w:rFonts w:cstheme="minorHAnsi"/>
              </w:rPr>
              <w:t xml:space="preserve">doit présenter un contenu suffisamment explicite et précis pour qu'un simple « oui » suffise à former le contrat, </w:t>
            </w:r>
          </w:p>
          <w:p w14:paraId="044D95B5" w14:textId="77777777" w:rsidR="00BE582D" w:rsidRPr="009E27AE" w:rsidRDefault="009E5494" w:rsidP="00BE582D">
            <w:pPr>
              <w:pStyle w:val="Paragraphedeliste"/>
              <w:numPr>
                <w:ilvl w:val="0"/>
                <w:numId w:val="16"/>
              </w:numPr>
              <w:tabs>
                <w:tab w:val="left" w:pos="6490"/>
              </w:tabs>
              <w:ind w:left="284" w:hanging="284"/>
              <w:jc w:val="both"/>
              <w:rPr>
                <w:rFonts w:eastAsia="Calibri" w:cstheme="minorHAnsi"/>
                <w:b/>
                <w:caps/>
                <w:sz w:val="24"/>
                <w:szCs w:val="24"/>
              </w:rPr>
            </w:pPr>
            <w:r w:rsidRPr="009E27AE">
              <w:rPr>
                <w:rFonts w:cstheme="minorHAnsi"/>
              </w:rPr>
              <w:t>doit être ferme c'est-à-dire montrer que son auteur manifeste sa volonté  d'être lié en cas d'acceptation.</w:t>
            </w:r>
          </w:p>
        </w:tc>
      </w:tr>
    </w:tbl>
    <w:p w14:paraId="36375CAF" w14:textId="77777777" w:rsidR="00653FBB" w:rsidRPr="009E27AE" w:rsidRDefault="00653FBB" w:rsidP="00653FBB">
      <w:pPr>
        <w:pStyle w:val="Paragraphedeliste"/>
        <w:spacing w:after="0" w:line="240" w:lineRule="auto"/>
        <w:ind w:left="284" w:right="-427"/>
        <w:rPr>
          <w:rFonts w:eastAsia="Calibri" w:cstheme="minorHAnsi"/>
          <w:b/>
          <w:caps/>
          <w:sz w:val="24"/>
          <w:szCs w:val="24"/>
        </w:rPr>
      </w:pPr>
    </w:p>
    <w:p w14:paraId="04EB6651" w14:textId="77777777" w:rsidR="00622299" w:rsidRPr="009E27AE" w:rsidRDefault="00622299" w:rsidP="00653FBB">
      <w:pPr>
        <w:pStyle w:val="Paragraphedeliste"/>
        <w:spacing w:after="0" w:line="240" w:lineRule="auto"/>
        <w:ind w:left="284" w:right="-427"/>
        <w:rPr>
          <w:rFonts w:eastAsia="Calibri" w:cstheme="minorHAnsi"/>
          <w:b/>
          <w:caps/>
          <w:sz w:val="24"/>
          <w:szCs w:val="24"/>
        </w:rPr>
      </w:pPr>
    </w:p>
    <w:tbl>
      <w:tblPr>
        <w:tblStyle w:val="Grilledutableau"/>
        <w:tblW w:w="0" w:type="auto"/>
        <w:tblInd w:w="-34" w:type="dxa"/>
        <w:tblBorders>
          <w:insideH w:val="none" w:sz="0" w:space="0" w:color="auto"/>
          <w:insideV w:val="none" w:sz="0" w:space="0" w:color="auto"/>
        </w:tblBorders>
        <w:tblLook w:val="04A0" w:firstRow="1" w:lastRow="0" w:firstColumn="1" w:lastColumn="0" w:noHBand="0" w:noVBand="1"/>
      </w:tblPr>
      <w:tblGrid>
        <w:gridCol w:w="9662"/>
      </w:tblGrid>
      <w:tr w:rsidR="00C175BE" w:rsidRPr="009E27AE" w14:paraId="63BE47BA" w14:textId="77777777" w:rsidTr="00622299">
        <w:tc>
          <w:tcPr>
            <w:tcW w:w="9888" w:type="dxa"/>
          </w:tcPr>
          <w:bookmarkEnd w:id="4"/>
          <w:p w14:paraId="55C0E281" w14:textId="77777777" w:rsidR="00C175BE" w:rsidRPr="009E27AE" w:rsidRDefault="00C175BE" w:rsidP="00C175BE">
            <w:pPr>
              <w:pStyle w:val="Titre1"/>
              <w:spacing w:before="0" w:after="120"/>
              <w:rPr>
                <w:rFonts w:asciiTheme="minorHAnsi" w:eastAsia="Calibri" w:hAnsiTheme="minorHAnsi" w:cstheme="minorHAnsi"/>
                <w:b w:val="0"/>
                <w:caps/>
                <w:sz w:val="24"/>
                <w:szCs w:val="24"/>
              </w:rPr>
            </w:pPr>
            <w:r w:rsidRPr="009E27AE">
              <w:rPr>
                <w:rFonts w:asciiTheme="minorHAnsi" w:hAnsiTheme="minorHAnsi" w:cstheme="minorHAnsi"/>
                <w:color w:val="E36C0A" w:themeColor="accent6" w:themeShade="BF"/>
                <w:sz w:val="24"/>
                <w:szCs w:val="24"/>
              </w:rPr>
              <w:t>R</w:t>
            </w:r>
            <w:r w:rsidR="009820B1" w:rsidRPr="009E27AE">
              <w:rPr>
                <w:rFonts w:asciiTheme="minorHAnsi" w:hAnsiTheme="minorHAnsi" w:cstheme="minorHAnsi"/>
                <w:color w:val="E36C0A" w:themeColor="accent6" w:themeShade="BF"/>
                <w:sz w:val="24"/>
                <w:szCs w:val="24"/>
              </w:rPr>
              <w:t>essource 7</w:t>
            </w:r>
            <w:r w:rsidRPr="009E27AE">
              <w:rPr>
                <w:rFonts w:asciiTheme="minorHAnsi" w:hAnsiTheme="minorHAnsi" w:cstheme="minorHAnsi"/>
                <w:color w:val="E36C0A" w:themeColor="accent6" w:themeShade="BF"/>
                <w:sz w:val="24"/>
                <w:szCs w:val="24"/>
              </w:rPr>
              <w:t xml:space="preserve"> - Les caractéristiques de l’acceptation</w:t>
            </w:r>
          </w:p>
        </w:tc>
      </w:tr>
      <w:tr w:rsidR="00C175BE" w:rsidRPr="009E27AE" w14:paraId="63100DDC" w14:textId="77777777" w:rsidTr="00622299">
        <w:tc>
          <w:tcPr>
            <w:tcW w:w="9888" w:type="dxa"/>
          </w:tcPr>
          <w:p w14:paraId="15D294BF" w14:textId="77777777" w:rsidR="00BE582D" w:rsidRPr="009E27AE" w:rsidRDefault="00BE582D" w:rsidP="00BE582D">
            <w:pPr>
              <w:jc w:val="both"/>
              <w:rPr>
                <w:rFonts w:cstheme="minorHAnsi"/>
                <w:color w:val="E36C0A" w:themeColor="accent6" w:themeShade="BF"/>
              </w:rPr>
            </w:pPr>
            <w:r w:rsidRPr="009E27AE">
              <w:rPr>
                <w:rFonts w:cstheme="minorHAnsi"/>
                <w:b/>
                <w:color w:val="E36C0A" w:themeColor="accent6" w:themeShade="BF"/>
              </w:rPr>
              <w:t>Art. 1118.</w:t>
            </w:r>
            <w:r w:rsidRPr="009E27AE">
              <w:rPr>
                <w:rFonts w:cstheme="minorHAnsi"/>
                <w:color w:val="E36C0A" w:themeColor="accent6" w:themeShade="BF"/>
              </w:rPr>
              <w:t>- L’acceptation est la manifestation de volonté de son auteur d’être lié dans les termes de l’offre.</w:t>
            </w:r>
            <w:r w:rsidR="00207AA5" w:rsidRPr="009E27AE">
              <w:rPr>
                <w:rFonts w:cstheme="minorHAnsi"/>
                <w:color w:val="E36C0A" w:themeColor="accent6" w:themeShade="BF"/>
              </w:rPr>
              <w:t xml:space="preserve"> […]</w:t>
            </w:r>
          </w:p>
          <w:p w14:paraId="4AA1259F" w14:textId="77777777" w:rsidR="00BE582D" w:rsidRPr="009E27AE" w:rsidRDefault="00BE582D" w:rsidP="00BE582D">
            <w:pPr>
              <w:tabs>
                <w:tab w:val="left" w:pos="6490"/>
              </w:tabs>
              <w:jc w:val="both"/>
              <w:rPr>
                <w:rFonts w:cstheme="minorHAnsi"/>
                <w:b/>
                <w:color w:val="E36C0A" w:themeColor="accent6" w:themeShade="BF"/>
              </w:rPr>
            </w:pPr>
            <w:r w:rsidRPr="009E27AE">
              <w:rPr>
                <w:rFonts w:cstheme="minorHAnsi"/>
                <w:b/>
                <w:color w:val="E36C0A" w:themeColor="accent6" w:themeShade="BF"/>
              </w:rPr>
              <w:t>Art. 1120.</w:t>
            </w:r>
            <w:r w:rsidRPr="009E27AE">
              <w:rPr>
                <w:rFonts w:cstheme="minorHAnsi"/>
                <w:color w:val="E36C0A" w:themeColor="accent6" w:themeShade="BF"/>
              </w:rPr>
              <w:t>- Le silence ne vaut pas acceptation, à moins qu’il n’en résulte autrement de la loi, des usages, des relations d’affaires ou de circonstances particulières.</w:t>
            </w:r>
          </w:p>
          <w:p w14:paraId="232D347B" w14:textId="77777777" w:rsidR="00BE582D" w:rsidRPr="009E27AE" w:rsidRDefault="00BE582D" w:rsidP="00BE582D">
            <w:pPr>
              <w:tabs>
                <w:tab w:val="left" w:pos="6490"/>
              </w:tabs>
              <w:jc w:val="both"/>
              <w:rPr>
                <w:rFonts w:cstheme="minorHAnsi"/>
                <w:b/>
                <w:color w:val="E36C0A" w:themeColor="accent6" w:themeShade="BF"/>
              </w:rPr>
            </w:pPr>
            <w:r w:rsidRPr="009E27AE">
              <w:rPr>
                <w:rFonts w:cstheme="minorHAnsi"/>
                <w:b/>
                <w:color w:val="E36C0A" w:themeColor="accent6" w:themeShade="BF"/>
              </w:rPr>
              <w:t>Art. 1121.</w:t>
            </w:r>
            <w:r w:rsidRPr="009E27AE">
              <w:rPr>
                <w:rFonts w:cstheme="minorHAnsi"/>
                <w:color w:val="E36C0A" w:themeColor="accent6" w:themeShade="BF"/>
              </w:rPr>
              <w:t xml:space="preserve">- Le contrat est conclu dès que l’acceptation parvient à l’offrant. </w:t>
            </w:r>
            <w:r w:rsidR="00207AA5" w:rsidRPr="009E27AE">
              <w:rPr>
                <w:rFonts w:cstheme="minorHAnsi"/>
                <w:color w:val="E36C0A" w:themeColor="accent6" w:themeShade="BF"/>
              </w:rPr>
              <w:t>[…]</w:t>
            </w:r>
          </w:p>
          <w:p w14:paraId="184325DB" w14:textId="77777777" w:rsidR="00C175BE" w:rsidRPr="009E27AE" w:rsidRDefault="00BE582D" w:rsidP="00207AA5">
            <w:pPr>
              <w:tabs>
                <w:tab w:val="left" w:pos="6490"/>
              </w:tabs>
              <w:spacing w:after="240"/>
              <w:jc w:val="both"/>
              <w:rPr>
                <w:rFonts w:eastAsia="Calibri" w:cstheme="minorHAnsi"/>
                <w:caps/>
                <w:sz w:val="24"/>
                <w:szCs w:val="24"/>
              </w:rPr>
            </w:pPr>
            <w:r w:rsidRPr="009E27AE">
              <w:rPr>
                <w:rFonts w:cstheme="minorHAnsi"/>
                <w:b/>
                <w:color w:val="E36C0A" w:themeColor="accent6" w:themeShade="BF"/>
              </w:rPr>
              <w:t>Art. 1122.</w:t>
            </w:r>
            <w:r w:rsidRPr="009E27AE">
              <w:rPr>
                <w:rFonts w:cstheme="minorHAnsi"/>
                <w:color w:val="E36C0A" w:themeColor="accent6" w:themeShade="BF"/>
              </w:rPr>
              <w:t>- La loi ou le contrat peuvent prévoir un délai de réflexion, qui est le délai avant l’expiration duquel le destinataire de l’offre ne peut manifester son acceptation ou un délai de rétractation, qui est le délai avant l’expiration duquel son bénéficiaire peut rétracter son consentement.</w:t>
            </w:r>
          </w:p>
        </w:tc>
      </w:tr>
      <w:tr w:rsidR="00C175BE" w:rsidRPr="009E27AE" w14:paraId="2C3CDD7A" w14:textId="77777777" w:rsidTr="00622299">
        <w:tc>
          <w:tcPr>
            <w:tcW w:w="9888" w:type="dxa"/>
          </w:tcPr>
          <w:p w14:paraId="79F09FD0" w14:textId="77777777" w:rsidR="00BE582D" w:rsidRPr="009E27AE" w:rsidRDefault="00BE582D" w:rsidP="00BE582D">
            <w:pPr>
              <w:tabs>
                <w:tab w:val="left" w:pos="6490"/>
              </w:tabs>
              <w:jc w:val="both"/>
              <w:rPr>
                <w:rFonts w:cstheme="minorHAnsi"/>
              </w:rPr>
            </w:pPr>
            <w:r w:rsidRPr="009E27AE">
              <w:rPr>
                <w:rFonts w:cstheme="minorHAnsi"/>
              </w:rPr>
              <w:t xml:space="preserve">L'acceptation </w:t>
            </w:r>
            <w:r w:rsidR="00207AA5" w:rsidRPr="009E27AE">
              <w:rPr>
                <w:rFonts w:cstheme="minorHAnsi"/>
              </w:rPr>
              <w:t xml:space="preserve">de l’offre </w:t>
            </w:r>
            <w:r w:rsidRPr="009E27AE">
              <w:rPr>
                <w:rFonts w:cstheme="minorHAnsi"/>
              </w:rPr>
              <w:t xml:space="preserve">doit être ferme et dépourvue de nuances. </w:t>
            </w:r>
            <w:r w:rsidR="00207AA5" w:rsidRPr="009E27AE">
              <w:rPr>
                <w:rFonts w:cstheme="minorHAnsi"/>
              </w:rPr>
              <w:t xml:space="preserve">Une acceptation </w:t>
            </w:r>
            <w:r w:rsidRPr="009E27AE">
              <w:rPr>
                <w:rFonts w:cstheme="minorHAnsi"/>
              </w:rPr>
              <w:t>assortie de conditions</w:t>
            </w:r>
            <w:r w:rsidR="00622299" w:rsidRPr="009E27AE">
              <w:rPr>
                <w:rFonts w:cstheme="minorHAnsi"/>
              </w:rPr>
              <w:t xml:space="preserve"> comme par exemple « oui, mais... »</w:t>
            </w:r>
            <w:r w:rsidRPr="009E27AE">
              <w:rPr>
                <w:rFonts w:cstheme="minorHAnsi"/>
              </w:rPr>
              <w:t xml:space="preserve"> </w:t>
            </w:r>
            <w:r w:rsidR="00207AA5" w:rsidRPr="009E27AE">
              <w:rPr>
                <w:rFonts w:cstheme="minorHAnsi"/>
              </w:rPr>
              <w:t>devient</w:t>
            </w:r>
            <w:r w:rsidRPr="009E27AE">
              <w:rPr>
                <w:rFonts w:cstheme="minorHAnsi"/>
              </w:rPr>
              <w:t xml:space="preserve"> une contre-proposition.</w:t>
            </w:r>
          </w:p>
          <w:p w14:paraId="1F2FE82C" w14:textId="77777777" w:rsidR="00BE582D" w:rsidRPr="009E27AE" w:rsidRDefault="00207AA5" w:rsidP="00207AA5">
            <w:pPr>
              <w:tabs>
                <w:tab w:val="left" w:pos="6490"/>
              </w:tabs>
              <w:jc w:val="both"/>
              <w:rPr>
                <w:rFonts w:cstheme="minorHAnsi"/>
              </w:rPr>
            </w:pPr>
            <w:r w:rsidRPr="009E27AE">
              <w:rPr>
                <w:rFonts w:cstheme="minorHAnsi"/>
              </w:rPr>
              <w:t>L’acceptation doit être explicite et peut s’exprimer par</w:t>
            </w:r>
            <w:r w:rsidR="00BE582D" w:rsidRPr="009E27AE">
              <w:rPr>
                <w:rFonts w:cstheme="minorHAnsi"/>
              </w:rPr>
              <w:t xml:space="preserve"> écrit (bon de commande), </w:t>
            </w:r>
            <w:r w:rsidRPr="009E27AE">
              <w:rPr>
                <w:rFonts w:cstheme="minorHAnsi"/>
              </w:rPr>
              <w:t>par un</w:t>
            </w:r>
            <w:r w:rsidR="00BE582D" w:rsidRPr="009E27AE">
              <w:rPr>
                <w:rFonts w:cstheme="minorHAnsi"/>
              </w:rPr>
              <w:t xml:space="preserve"> geste (</w:t>
            </w:r>
            <w:r w:rsidRPr="009E27AE">
              <w:rPr>
                <w:rFonts w:cstheme="minorHAnsi"/>
              </w:rPr>
              <w:t xml:space="preserve">levée de main </w:t>
            </w:r>
            <w:r w:rsidR="00BE582D" w:rsidRPr="009E27AE">
              <w:rPr>
                <w:rFonts w:cstheme="minorHAnsi"/>
              </w:rPr>
              <w:t>aux enchères</w:t>
            </w:r>
            <w:r w:rsidRPr="009E27AE">
              <w:rPr>
                <w:rFonts w:cstheme="minorHAnsi"/>
              </w:rPr>
              <w:t xml:space="preserve">) ou même par </w:t>
            </w:r>
            <w:r w:rsidR="00BE582D" w:rsidRPr="009E27AE">
              <w:rPr>
                <w:rFonts w:cstheme="minorHAnsi"/>
              </w:rPr>
              <w:t xml:space="preserve">un comportement </w:t>
            </w:r>
            <w:r w:rsidRPr="009E27AE">
              <w:rPr>
                <w:rFonts w:cstheme="minorHAnsi"/>
              </w:rPr>
              <w:t>lorsque le contrat commence à être exécuté.</w:t>
            </w:r>
          </w:p>
          <w:p w14:paraId="0BEAB256" w14:textId="77777777" w:rsidR="00207AA5" w:rsidRPr="009E27AE" w:rsidRDefault="00207AA5" w:rsidP="00207AA5">
            <w:pPr>
              <w:tabs>
                <w:tab w:val="left" w:pos="6490"/>
              </w:tabs>
              <w:jc w:val="both"/>
              <w:rPr>
                <w:rFonts w:cstheme="minorHAnsi"/>
              </w:rPr>
            </w:pPr>
            <w:r w:rsidRPr="009E27AE">
              <w:rPr>
                <w:rFonts w:cstheme="minorHAnsi"/>
              </w:rPr>
              <w:t xml:space="preserve">Tant que l'acceptation n'a pas touché l'offrant, le contrat n'est pas formé. Et même si l'acceptation a atteint l'offrant, elle peut être parfois rétractée. </w:t>
            </w:r>
          </w:p>
          <w:p w14:paraId="45C83242" w14:textId="77777777" w:rsidR="00C175BE" w:rsidRPr="009E27AE" w:rsidRDefault="00207AA5" w:rsidP="00622299">
            <w:pPr>
              <w:tabs>
                <w:tab w:val="left" w:pos="6490"/>
              </w:tabs>
              <w:jc w:val="both"/>
              <w:rPr>
                <w:rFonts w:eastAsia="Calibri" w:cstheme="minorHAnsi"/>
                <w:b/>
                <w:caps/>
                <w:sz w:val="24"/>
                <w:szCs w:val="24"/>
              </w:rPr>
            </w:pPr>
            <w:r w:rsidRPr="009E27AE">
              <w:rPr>
                <w:rFonts w:cstheme="minorHAnsi"/>
              </w:rPr>
              <w:t>En effet, la loi du 21 juin 2004 a inséré dans le Code civil certaines dispositions qui intéressent la conclusion des contrats sur internet. Ainsi, la formation du contrat suit un processus qui passe par 4 étapes : l'offre faite par le professionnel ; la commande établie par le destinataire de l'offre ; la confirmation de cette commande (double clic) après correction d'éventuelles erreurs ; l'accusé réception de la confirmation de la commande.</w:t>
            </w:r>
          </w:p>
        </w:tc>
      </w:tr>
    </w:tbl>
    <w:p w14:paraId="36096072" w14:textId="77777777" w:rsidR="00653FBB" w:rsidRPr="009E27AE" w:rsidRDefault="00653FBB" w:rsidP="00653FBB">
      <w:pPr>
        <w:pStyle w:val="Paragraphedeliste"/>
        <w:tabs>
          <w:tab w:val="left" w:pos="6490"/>
        </w:tabs>
        <w:spacing w:after="0" w:line="240" w:lineRule="auto"/>
        <w:ind w:left="284"/>
        <w:jc w:val="both"/>
        <w:rPr>
          <w:rFonts w:cstheme="minorHAnsi"/>
        </w:rPr>
      </w:pPr>
    </w:p>
    <w:p w14:paraId="20C5C810" w14:textId="289BDD54" w:rsidR="00653FBB" w:rsidRPr="009E27AE" w:rsidRDefault="00653FBB" w:rsidP="00167990">
      <w:pPr>
        <w:spacing w:after="120" w:line="240" w:lineRule="auto"/>
        <w:ind w:right="-427"/>
        <w:jc w:val="both"/>
        <w:rPr>
          <w:rFonts w:eastAsia="Calibri" w:cstheme="minorHAnsi"/>
          <w:b/>
          <w:color w:val="548DD4" w:themeColor="text2" w:themeTint="99"/>
          <w:sz w:val="23"/>
          <w:szCs w:val="23"/>
        </w:rPr>
      </w:pPr>
    </w:p>
    <w:p w14:paraId="5E98CEB3" w14:textId="77777777" w:rsidR="00F4105F" w:rsidRPr="009E27AE" w:rsidRDefault="00F4105F" w:rsidP="00653FBB">
      <w:pPr>
        <w:tabs>
          <w:tab w:val="left" w:pos="6490"/>
        </w:tabs>
        <w:spacing w:after="0" w:line="240" w:lineRule="auto"/>
        <w:jc w:val="both"/>
        <w:rPr>
          <w:rFonts w:cstheme="minorHAnsi"/>
        </w:rPr>
      </w:pPr>
    </w:p>
    <w:p w14:paraId="273E8E68" w14:textId="77777777" w:rsidR="009E5494" w:rsidRDefault="009E5494">
      <w:pPr>
        <w:rPr>
          <w:rFonts w:cstheme="minorHAnsi"/>
          <w:color w:val="000000" w:themeColor="text1"/>
          <w:sz w:val="24"/>
          <w:szCs w:val="24"/>
        </w:rPr>
      </w:pPr>
      <w:bookmarkStart w:id="5" w:name="_Toc507366211"/>
      <w:r w:rsidRPr="009E27AE">
        <w:rPr>
          <w:rFonts w:cstheme="minorHAnsi"/>
          <w:color w:val="000000" w:themeColor="text1"/>
          <w:sz w:val="24"/>
          <w:szCs w:val="24"/>
        </w:rPr>
        <w:br w:type="page"/>
      </w:r>
    </w:p>
    <w:bookmarkEnd w:id="5"/>
    <w:p w14:paraId="503BBF0B" w14:textId="77777777" w:rsidR="002B3D7F" w:rsidRPr="009E27AE" w:rsidRDefault="002B3D7F" w:rsidP="007F6507">
      <w:pPr>
        <w:pStyle w:val="Paragraphedeliste"/>
        <w:numPr>
          <w:ilvl w:val="0"/>
          <w:numId w:val="8"/>
        </w:numPr>
        <w:spacing w:after="0" w:line="240" w:lineRule="auto"/>
        <w:ind w:left="284" w:hanging="284"/>
        <w:rPr>
          <w:rFonts w:eastAsia="Calibri" w:cstheme="minorHAnsi"/>
          <w:b/>
          <w:caps/>
          <w:color w:val="4F6228" w:themeColor="accent3" w:themeShade="80"/>
          <w:sz w:val="26"/>
          <w:szCs w:val="26"/>
          <w:u w:val="single"/>
        </w:rPr>
      </w:pPr>
      <w:r w:rsidRPr="009E27AE">
        <w:rPr>
          <w:rFonts w:eastAsia="Calibri" w:cstheme="minorHAnsi"/>
          <w:b/>
          <w:caps/>
          <w:color w:val="4F6228" w:themeColor="accent3" w:themeShade="80"/>
          <w:sz w:val="26"/>
          <w:szCs w:val="26"/>
          <w:u w:val="single"/>
        </w:rPr>
        <w:lastRenderedPageBreak/>
        <w:t>Les conditions de validité du contrat</w:t>
      </w:r>
    </w:p>
    <w:p w14:paraId="1F1CDE7E" w14:textId="77777777" w:rsidR="008A36A7" w:rsidRPr="009E27AE" w:rsidRDefault="008A36A7" w:rsidP="00167990">
      <w:pPr>
        <w:spacing w:after="0" w:line="240" w:lineRule="auto"/>
        <w:rPr>
          <w:rFonts w:eastAsia="Calibri" w:cstheme="minorHAnsi"/>
          <w:b/>
          <w:caps/>
        </w:rPr>
      </w:pPr>
    </w:p>
    <w:p w14:paraId="319044EB" w14:textId="77777777" w:rsidR="002B3D7F" w:rsidRPr="009E27AE" w:rsidRDefault="002B3D7F" w:rsidP="009820B1">
      <w:pPr>
        <w:numPr>
          <w:ilvl w:val="0"/>
          <w:numId w:val="33"/>
        </w:numPr>
        <w:spacing w:after="0" w:line="240" w:lineRule="auto"/>
        <w:ind w:left="284" w:hanging="284"/>
        <w:contextualSpacing/>
        <w:rPr>
          <w:rFonts w:eastAsia="Calibri" w:cstheme="minorHAnsi"/>
          <w:b/>
          <w:color w:val="76923C" w:themeColor="accent3" w:themeShade="BF"/>
          <w:sz w:val="26"/>
          <w:szCs w:val="26"/>
          <w:u w:val="single"/>
        </w:rPr>
      </w:pPr>
      <w:r w:rsidRPr="009E27AE">
        <w:rPr>
          <w:rFonts w:eastAsia="Calibri" w:cstheme="minorHAnsi"/>
          <w:b/>
          <w:color w:val="76923C" w:themeColor="accent3" w:themeShade="BF"/>
          <w:sz w:val="26"/>
          <w:szCs w:val="26"/>
          <w:u w:val="single"/>
        </w:rPr>
        <w:t>Le consentement et la capacité de contracter</w:t>
      </w:r>
    </w:p>
    <w:p w14:paraId="06B0A73E" w14:textId="77777777" w:rsidR="009820B1" w:rsidRPr="009E27AE" w:rsidRDefault="009820B1" w:rsidP="009820B1">
      <w:pPr>
        <w:spacing w:after="0" w:line="240" w:lineRule="auto"/>
        <w:contextualSpacing/>
        <w:rPr>
          <w:rFonts w:eastAsia="Calibri" w:cstheme="minorHAnsi"/>
          <w:b/>
          <w:sz w:val="24"/>
          <w:szCs w:val="24"/>
        </w:rPr>
      </w:pPr>
    </w:p>
    <w:tbl>
      <w:tblPr>
        <w:tblStyle w:val="Grilledutableau"/>
        <w:tblW w:w="0" w:type="auto"/>
        <w:tblInd w:w="-34" w:type="dxa"/>
        <w:tblBorders>
          <w:insideH w:val="none" w:sz="0" w:space="0" w:color="auto"/>
          <w:insideV w:val="none" w:sz="0" w:space="0" w:color="auto"/>
        </w:tblBorders>
        <w:tblLook w:val="04A0" w:firstRow="1" w:lastRow="0" w:firstColumn="1" w:lastColumn="0" w:noHBand="0" w:noVBand="1"/>
      </w:tblPr>
      <w:tblGrid>
        <w:gridCol w:w="9662"/>
      </w:tblGrid>
      <w:tr w:rsidR="007E1C31" w:rsidRPr="009E27AE" w14:paraId="7B7CCE01" w14:textId="77777777" w:rsidTr="00821838">
        <w:tc>
          <w:tcPr>
            <w:tcW w:w="9888" w:type="dxa"/>
          </w:tcPr>
          <w:p w14:paraId="420CAE05" w14:textId="77777777" w:rsidR="007E1C31" w:rsidRPr="009E27AE" w:rsidRDefault="007E1C31" w:rsidP="001A35A6">
            <w:pPr>
              <w:pStyle w:val="Titre1"/>
              <w:spacing w:before="0" w:after="120"/>
              <w:rPr>
                <w:rFonts w:asciiTheme="minorHAnsi" w:eastAsia="Calibri" w:hAnsiTheme="minorHAnsi" w:cstheme="minorHAnsi"/>
                <w:b w:val="0"/>
                <w:caps/>
                <w:sz w:val="24"/>
                <w:szCs w:val="24"/>
              </w:rPr>
            </w:pPr>
            <w:bookmarkStart w:id="6" w:name="_Toc507366212"/>
            <w:r w:rsidRPr="009E27AE">
              <w:rPr>
                <w:rFonts w:asciiTheme="minorHAnsi" w:hAnsiTheme="minorHAnsi" w:cstheme="minorHAnsi"/>
                <w:color w:val="E36C0A" w:themeColor="accent6" w:themeShade="BF"/>
                <w:sz w:val="24"/>
                <w:szCs w:val="24"/>
              </w:rPr>
              <w:t xml:space="preserve">Ressource 8 - </w:t>
            </w:r>
            <w:r w:rsidR="001A35A6" w:rsidRPr="009E27AE">
              <w:rPr>
                <w:rFonts w:asciiTheme="minorHAnsi" w:hAnsiTheme="minorHAnsi" w:cstheme="minorHAnsi"/>
                <w:color w:val="E36C0A" w:themeColor="accent6" w:themeShade="BF"/>
                <w:sz w:val="24"/>
                <w:szCs w:val="24"/>
              </w:rPr>
              <w:t>L</w:t>
            </w:r>
            <w:r w:rsidRPr="009E27AE">
              <w:rPr>
                <w:rFonts w:asciiTheme="minorHAnsi" w:hAnsiTheme="minorHAnsi" w:cstheme="minorHAnsi"/>
                <w:color w:val="E36C0A" w:themeColor="accent6" w:themeShade="BF"/>
                <w:sz w:val="24"/>
                <w:szCs w:val="24"/>
              </w:rPr>
              <w:t>e consentement</w:t>
            </w:r>
          </w:p>
        </w:tc>
      </w:tr>
      <w:tr w:rsidR="007E1C31" w:rsidRPr="009E27AE" w14:paraId="5587A7F5" w14:textId="77777777" w:rsidTr="00821838">
        <w:tc>
          <w:tcPr>
            <w:tcW w:w="9888" w:type="dxa"/>
          </w:tcPr>
          <w:p w14:paraId="7DF7F48B" w14:textId="77777777" w:rsidR="007E1C31" w:rsidRPr="009E27AE" w:rsidRDefault="007E1C31" w:rsidP="007E1C31">
            <w:pPr>
              <w:jc w:val="both"/>
              <w:rPr>
                <w:rFonts w:cstheme="minorHAnsi"/>
                <w:color w:val="E36C0A" w:themeColor="accent6" w:themeShade="BF"/>
              </w:rPr>
            </w:pPr>
            <w:r w:rsidRPr="009E27AE">
              <w:rPr>
                <w:rFonts w:cstheme="minorHAnsi"/>
                <w:b/>
                <w:color w:val="E36C0A" w:themeColor="accent6" w:themeShade="BF"/>
              </w:rPr>
              <w:t>Art. 1128.</w:t>
            </w:r>
            <w:r w:rsidRPr="009E27AE">
              <w:rPr>
                <w:rFonts w:cstheme="minorHAnsi"/>
                <w:color w:val="E36C0A" w:themeColor="accent6" w:themeShade="BF"/>
              </w:rPr>
              <w:t>- Sont nécessaires à la validité d’un contrat :</w:t>
            </w:r>
          </w:p>
          <w:p w14:paraId="2C6D8630" w14:textId="77777777" w:rsidR="007E1C31" w:rsidRPr="009E27AE" w:rsidRDefault="007E1C31" w:rsidP="007E1C31">
            <w:pPr>
              <w:jc w:val="both"/>
              <w:rPr>
                <w:rFonts w:cstheme="minorHAnsi"/>
                <w:color w:val="E36C0A" w:themeColor="accent6" w:themeShade="BF"/>
              </w:rPr>
            </w:pPr>
            <w:r w:rsidRPr="009E27AE">
              <w:rPr>
                <w:rFonts w:cstheme="minorHAnsi"/>
                <w:color w:val="E36C0A" w:themeColor="accent6" w:themeShade="BF"/>
              </w:rPr>
              <w:t>1° Le consentement des parties ;</w:t>
            </w:r>
          </w:p>
          <w:p w14:paraId="00C1A580" w14:textId="77777777" w:rsidR="007E1C31" w:rsidRPr="009E27AE" w:rsidRDefault="007E1C31" w:rsidP="007E1C31">
            <w:pPr>
              <w:jc w:val="both"/>
              <w:rPr>
                <w:rFonts w:cstheme="minorHAnsi"/>
                <w:color w:val="E36C0A" w:themeColor="accent6" w:themeShade="BF"/>
              </w:rPr>
            </w:pPr>
            <w:r w:rsidRPr="009E27AE">
              <w:rPr>
                <w:rFonts w:cstheme="minorHAnsi"/>
                <w:color w:val="E36C0A" w:themeColor="accent6" w:themeShade="BF"/>
              </w:rPr>
              <w:t>2° Leur capacité de contracter ;</w:t>
            </w:r>
          </w:p>
          <w:p w14:paraId="1FF6CC9C" w14:textId="77777777" w:rsidR="007E1C31" w:rsidRPr="009E27AE" w:rsidRDefault="007E1C31" w:rsidP="007E1C31">
            <w:pPr>
              <w:jc w:val="both"/>
              <w:rPr>
                <w:rFonts w:cstheme="minorHAnsi"/>
                <w:color w:val="E36C0A" w:themeColor="accent6" w:themeShade="BF"/>
              </w:rPr>
            </w:pPr>
            <w:r w:rsidRPr="009E27AE">
              <w:rPr>
                <w:rFonts w:cstheme="minorHAnsi"/>
                <w:color w:val="E36C0A" w:themeColor="accent6" w:themeShade="BF"/>
              </w:rPr>
              <w:t>3° Un contenu licite et certain.</w:t>
            </w:r>
          </w:p>
          <w:p w14:paraId="5A143D7C" w14:textId="77777777" w:rsidR="007E1C31" w:rsidRPr="009E27AE" w:rsidRDefault="007E1C31" w:rsidP="007E1C31">
            <w:pPr>
              <w:tabs>
                <w:tab w:val="left" w:pos="6490"/>
              </w:tabs>
              <w:spacing w:after="240"/>
              <w:jc w:val="both"/>
              <w:rPr>
                <w:rFonts w:eastAsia="Calibri" w:cstheme="minorHAnsi"/>
                <w:caps/>
                <w:sz w:val="24"/>
                <w:szCs w:val="24"/>
              </w:rPr>
            </w:pPr>
            <w:r w:rsidRPr="009E27AE">
              <w:rPr>
                <w:rFonts w:cstheme="minorHAnsi"/>
                <w:b/>
                <w:color w:val="E36C0A" w:themeColor="accent6" w:themeShade="BF"/>
              </w:rPr>
              <w:t xml:space="preserve">Art. 1129. </w:t>
            </w:r>
            <w:r w:rsidRPr="009E27AE">
              <w:rPr>
                <w:rFonts w:cstheme="minorHAnsi"/>
                <w:color w:val="E36C0A" w:themeColor="accent6" w:themeShade="BF"/>
              </w:rPr>
              <w:t xml:space="preserve">[…] </w:t>
            </w:r>
            <w:r w:rsidRPr="009E27AE">
              <w:rPr>
                <w:rFonts w:cstheme="minorHAnsi"/>
                <w:b/>
                <w:color w:val="E36C0A" w:themeColor="accent6" w:themeShade="BF"/>
              </w:rPr>
              <w:t xml:space="preserve">Art. 1144. - </w:t>
            </w:r>
            <w:r w:rsidRPr="009E27AE">
              <w:rPr>
                <w:rFonts w:cstheme="minorHAnsi"/>
                <w:color w:val="E36C0A" w:themeColor="accent6" w:themeShade="BF"/>
              </w:rPr>
              <w:t>Consentement et vices du consentement</w:t>
            </w:r>
          </w:p>
        </w:tc>
      </w:tr>
      <w:tr w:rsidR="007E1C31" w:rsidRPr="009E27AE" w14:paraId="437E6FFF" w14:textId="77777777" w:rsidTr="00821838">
        <w:tc>
          <w:tcPr>
            <w:tcW w:w="9888" w:type="dxa"/>
          </w:tcPr>
          <w:p w14:paraId="5043456F" w14:textId="77777777" w:rsidR="007E1C31" w:rsidRPr="009E27AE" w:rsidRDefault="007E1C31" w:rsidP="007E1C31">
            <w:pPr>
              <w:tabs>
                <w:tab w:val="left" w:pos="6490"/>
              </w:tabs>
              <w:jc w:val="both"/>
              <w:rPr>
                <w:rFonts w:cstheme="minorHAnsi"/>
              </w:rPr>
            </w:pPr>
            <w:r w:rsidRPr="009E27AE">
              <w:rPr>
                <w:rFonts w:cstheme="minorHAnsi"/>
              </w:rPr>
              <w:t>Le consentement doit être donné par une personne « saine d'esprit » pour produire ses effets. Il faut également qu'il soit libre et éclairé. Le consentement doit être exempt de vices. Dans le cas contraire, le contrat est réputé nul afin de protéger l'intérêt du contractant dont le consentement a été vicié.</w:t>
            </w:r>
          </w:p>
          <w:p w14:paraId="3FCB8E96" w14:textId="77777777" w:rsidR="007E1C31" w:rsidRPr="009E27AE" w:rsidRDefault="007E1C31" w:rsidP="007E1C31">
            <w:pPr>
              <w:tabs>
                <w:tab w:val="left" w:pos="6490"/>
              </w:tabs>
              <w:jc w:val="both"/>
              <w:rPr>
                <w:rFonts w:cstheme="minorHAnsi"/>
              </w:rPr>
            </w:pPr>
            <w:r w:rsidRPr="009E27AE">
              <w:rPr>
                <w:rFonts w:cstheme="minorHAnsi"/>
              </w:rPr>
              <w:t>Le droit distingue trois vices de consentement : l’erreur, le dol et la violence.</w:t>
            </w:r>
          </w:p>
          <w:p w14:paraId="7F29F378" w14:textId="77777777" w:rsidR="007E1C31" w:rsidRPr="009E27AE" w:rsidRDefault="007E1C31" w:rsidP="007E1C31">
            <w:pPr>
              <w:tabs>
                <w:tab w:val="left" w:pos="6490"/>
              </w:tabs>
              <w:jc w:val="both"/>
              <w:rPr>
                <w:rFonts w:cstheme="minorHAnsi"/>
              </w:rPr>
            </w:pPr>
            <w:r w:rsidRPr="009E27AE">
              <w:rPr>
                <w:rFonts w:cstheme="minorHAnsi"/>
              </w:rPr>
              <w:t>L’</w:t>
            </w:r>
            <w:r w:rsidRPr="009E27AE">
              <w:rPr>
                <w:rFonts w:cstheme="minorHAnsi"/>
                <w:i/>
              </w:rPr>
              <w:t xml:space="preserve">erreur </w:t>
            </w:r>
            <w:r w:rsidRPr="009E27AE">
              <w:rPr>
                <w:rFonts w:cstheme="minorHAnsi"/>
              </w:rPr>
              <w:t xml:space="preserve">doit porter sur les qualités essentielles de la prestation due ou du contractant si le contrat est conclu en considération de la personne. </w:t>
            </w:r>
          </w:p>
          <w:p w14:paraId="076E40C7" w14:textId="77777777" w:rsidR="007E1C31" w:rsidRPr="009E27AE" w:rsidRDefault="007E1C31" w:rsidP="007E1C31">
            <w:pPr>
              <w:tabs>
                <w:tab w:val="left" w:pos="6490"/>
              </w:tabs>
              <w:jc w:val="both"/>
              <w:rPr>
                <w:rFonts w:cstheme="minorHAnsi"/>
              </w:rPr>
            </w:pPr>
            <w:r w:rsidRPr="009E27AE">
              <w:rPr>
                <w:rFonts w:cstheme="minorHAnsi"/>
              </w:rPr>
              <w:t xml:space="preserve">Le </w:t>
            </w:r>
            <w:r w:rsidRPr="009E27AE">
              <w:rPr>
                <w:rFonts w:cstheme="minorHAnsi"/>
                <w:i/>
              </w:rPr>
              <w:t xml:space="preserve">dol </w:t>
            </w:r>
            <w:r w:rsidRPr="009E27AE">
              <w:rPr>
                <w:rFonts w:cstheme="minorHAnsi"/>
              </w:rPr>
              <w:t xml:space="preserve">est défini comme le fait d'obtenir le consentement de l'autre contractant par des manœuvres ou des mensonges. </w:t>
            </w:r>
            <w:r w:rsidR="00167990" w:rsidRPr="009E27AE">
              <w:rPr>
                <w:rFonts w:cstheme="minorHAnsi"/>
              </w:rPr>
              <w:t>Ainsi, l</w:t>
            </w:r>
            <w:r w:rsidRPr="009E27AE">
              <w:rPr>
                <w:rFonts w:cstheme="minorHAnsi"/>
              </w:rPr>
              <w:t xml:space="preserve">e dol est à la fois un vice du consentement et une faute délictuelle. </w:t>
            </w:r>
          </w:p>
          <w:p w14:paraId="2BB7C146" w14:textId="77777777" w:rsidR="007E1C31" w:rsidRPr="009E27AE" w:rsidRDefault="00167990" w:rsidP="00167990">
            <w:pPr>
              <w:tabs>
                <w:tab w:val="left" w:pos="6490"/>
              </w:tabs>
              <w:jc w:val="both"/>
              <w:rPr>
                <w:rFonts w:eastAsia="Calibri" w:cstheme="minorHAnsi"/>
                <w:b/>
                <w:caps/>
                <w:sz w:val="24"/>
                <w:szCs w:val="24"/>
              </w:rPr>
            </w:pPr>
            <w:r w:rsidRPr="009E27AE">
              <w:rPr>
                <w:rFonts w:cstheme="minorHAnsi"/>
              </w:rPr>
              <w:t xml:space="preserve">La </w:t>
            </w:r>
            <w:r w:rsidRPr="009E27AE">
              <w:rPr>
                <w:rFonts w:cstheme="minorHAnsi"/>
                <w:i/>
              </w:rPr>
              <w:t>violence</w:t>
            </w:r>
            <w:r w:rsidRPr="009E27AE">
              <w:rPr>
                <w:rFonts w:cstheme="minorHAnsi"/>
              </w:rPr>
              <w:t xml:space="preserve"> </w:t>
            </w:r>
            <w:r w:rsidR="007E1C31" w:rsidRPr="009E27AE">
              <w:rPr>
                <w:rFonts w:cstheme="minorHAnsi"/>
              </w:rPr>
              <w:t>peut être physique</w:t>
            </w:r>
            <w:r w:rsidRPr="009E27AE">
              <w:rPr>
                <w:rFonts w:cstheme="minorHAnsi"/>
              </w:rPr>
              <w:t>, morale ou financière, et elle peut émaner du contractant d'un tiers.</w:t>
            </w:r>
          </w:p>
        </w:tc>
      </w:tr>
    </w:tbl>
    <w:p w14:paraId="649B741C" w14:textId="77777777" w:rsidR="007E1C31" w:rsidRPr="009E27AE" w:rsidRDefault="007E1C31" w:rsidP="009820B1">
      <w:pPr>
        <w:pStyle w:val="Titre1"/>
        <w:spacing w:before="0" w:line="240" w:lineRule="auto"/>
        <w:rPr>
          <w:rFonts w:asciiTheme="minorHAnsi" w:hAnsiTheme="minorHAnsi" w:cstheme="minorHAnsi"/>
          <w:color w:val="000000" w:themeColor="text1"/>
          <w:sz w:val="24"/>
          <w:szCs w:val="24"/>
        </w:rPr>
      </w:pPr>
    </w:p>
    <w:bookmarkEnd w:id="6"/>
    <w:p w14:paraId="44A909FF" w14:textId="77777777" w:rsidR="009820B1" w:rsidRPr="009E27AE" w:rsidRDefault="009820B1" w:rsidP="00367AA7">
      <w:pPr>
        <w:spacing w:after="0" w:line="240" w:lineRule="auto"/>
        <w:ind w:right="-427"/>
        <w:jc w:val="both"/>
        <w:rPr>
          <w:rFonts w:eastAsia="Calibri" w:cstheme="minorHAnsi"/>
          <w:b/>
          <w:color w:val="548DD4" w:themeColor="text2" w:themeTint="99"/>
          <w:sz w:val="23"/>
          <w:szCs w:val="23"/>
        </w:rPr>
      </w:pPr>
    </w:p>
    <w:tbl>
      <w:tblPr>
        <w:tblStyle w:val="Grilledutableau"/>
        <w:tblW w:w="0" w:type="auto"/>
        <w:tblInd w:w="-34" w:type="dxa"/>
        <w:tblBorders>
          <w:insideH w:val="none" w:sz="0" w:space="0" w:color="auto"/>
          <w:insideV w:val="none" w:sz="0" w:space="0" w:color="auto"/>
        </w:tblBorders>
        <w:tblLook w:val="04A0" w:firstRow="1" w:lastRow="0" w:firstColumn="1" w:lastColumn="0" w:noHBand="0" w:noVBand="1"/>
      </w:tblPr>
      <w:tblGrid>
        <w:gridCol w:w="9662"/>
      </w:tblGrid>
      <w:tr w:rsidR="00D34D43" w:rsidRPr="009E27AE" w14:paraId="7DDEAA2D" w14:textId="77777777" w:rsidTr="00821838">
        <w:tc>
          <w:tcPr>
            <w:tcW w:w="9888" w:type="dxa"/>
          </w:tcPr>
          <w:p w14:paraId="23F15F38" w14:textId="77777777" w:rsidR="00D34D43" w:rsidRPr="009E27AE" w:rsidRDefault="00D34D43" w:rsidP="001A35A6">
            <w:pPr>
              <w:pStyle w:val="Titre1"/>
              <w:spacing w:before="0" w:after="120"/>
              <w:rPr>
                <w:rFonts w:asciiTheme="minorHAnsi" w:eastAsia="Calibri" w:hAnsiTheme="minorHAnsi" w:cstheme="minorHAnsi"/>
                <w:b w:val="0"/>
                <w:caps/>
                <w:sz w:val="24"/>
                <w:szCs w:val="24"/>
              </w:rPr>
            </w:pPr>
            <w:r w:rsidRPr="009E27AE">
              <w:rPr>
                <w:rFonts w:asciiTheme="minorHAnsi" w:hAnsiTheme="minorHAnsi" w:cstheme="minorHAnsi"/>
                <w:color w:val="E36C0A" w:themeColor="accent6" w:themeShade="BF"/>
                <w:sz w:val="24"/>
                <w:szCs w:val="24"/>
              </w:rPr>
              <w:t xml:space="preserve">Ressource </w:t>
            </w:r>
            <w:r w:rsidR="001A35A6" w:rsidRPr="009E27AE">
              <w:rPr>
                <w:rFonts w:asciiTheme="minorHAnsi" w:hAnsiTheme="minorHAnsi" w:cstheme="minorHAnsi"/>
                <w:color w:val="E36C0A" w:themeColor="accent6" w:themeShade="BF"/>
                <w:sz w:val="24"/>
                <w:szCs w:val="24"/>
              </w:rPr>
              <w:t>9</w:t>
            </w:r>
            <w:r w:rsidRPr="009E27AE">
              <w:rPr>
                <w:rFonts w:asciiTheme="minorHAnsi" w:hAnsiTheme="minorHAnsi" w:cstheme="minorHAnsi"/>
                <w:color w:val="E36C0A" w:themeColor="accent6" w:themeShade="BF"/>
                <w:sz w:val="24"/>
                <w:szCs w:val="24"/>
              </w:rPr>
              <w:t xml:space="preserve"> - </w:t>
            </w:r>
            <w:r w:rsidR="001A35A6" w:rsidRPr="009E27AE">
              <w:rPr>
                <w:rFonts w:asciiTheme="minorHAnsi" w:hAnsiTheme="minorHAnsi" w:cstheme="minorHAnsi"/>
                <w:color w:val="E36C0A" w:themeColor="accent6" w:themeShade="BF"/>
                <w:sz w:val="24"/>
                <w:szCs w:val="24"/>
              </w:rPr>
              <w:t>L</w:t>
            </w:r>
            <w:r w:rsidRPr="009E27AE">
              <w:rPr>
                <w:rFonts w:asciiTheme="minorHAnsi" w:hAnsiTheme="minorHAnsi" w:cstheme="minorHAnsi"/>
                <w:color w:val="E36C0A" w:themeColor="accent6" w:themeShade="BF"/>
                <w:sz w:val="24"/>
                <w:szCs w:val="24"/>
              </w:rPr>
              <w:t>a capacité à contracter</w:t>
            </w:r>
          </w:p>
        </w:tc>
      </w:tr>
      <w:tr w:rsidR="00D34D43" w:rsidRPr="009E27AE" w14:paraId="6CF9F16A" w14:textId="77777777" w:rsidTr="00821838">
        <w:tc>
          <w:tcPr>
            <w:tcW w:w="9888" w:type="dxa"/>
          </w:tcPr>
          <w:p w14:paraId="62338173" w14:textId="77777777" w:rsidR="00D34D43" w:rsidRPr="009E27AE" w:rsidRDefault="00D34D43" w:rsidP="00E20494">
            <w:pPr>
              <w:spacing w:after="240"/>
              <w:jc w:val="both"/>
              <w:rPr>
                <w:rFonts w:eastAsia="Calibri" w:cstheme="minorHAnsi"/>
                <w:caps/>
                <w:sz w:val="24"/>
                <w:szCs w:val="24"/>
              </w:rPr>
            </w:pPr>
            <w:r w:rsidRPr="009E27AE">
              <w:rPr>
                <w:rFonts w:cstheme="minorHAnsi"/>
                <w:b/>
                <w:color w:val="E36C0A" w:themeColor="accent6" w:themeShade="BF"/>
              </w:rPr>
              <w:t>Art. 1145.</w:t>
            </w:r>
            <w:r w:rsidRPr="009E27AE">
              <w:rPr>
                <w:rFonts w:cstheme="minorHAnsi"/>
                <w:color w:val="E36C0A" w:themeColor="accent6" w:themeShade="BF"/>
              </w:rPr>
              <w:t>- Toute personne physique peut contracter sauf en cas d’incapacité prévue par la loi. […]</w:t>
            </w:r>
          </w:p>
        </w:tc>
      </w:tr>
      <w:tr w:rsidR="00D34D43" w:rsidRPr="009E27AE" w14:paraId="23AE12AE" w14:textId="77777777" w:rsidTr="00821838">
        <w:tc>
          <w:tcPr>
            <w:tcW w:w="9888" w:type="dxa"/>
          </w:tcPr>
          <w:p w14:paraId="4BAF6B24" w14:textId="77777777" w:rsidR="00D34D43" w:rsidRPr="009E27AE" w:rsidRDefault="004C31F2" w:rsidP="00E20494">
            <w:pPr>
              <w:tabs>
                <w:tab w:val="left" w:pos="6490"/>
              </w:tabs>
              <w:jc w:val="both"/>
              <w:rPr>
                <w:rFonts w:eastAsia="Calibri" w:cstheme="minorHAnsi"/>
                <w:b/>
                <w:caps/>
                <w:sz w:val="24"/>
                <w:szCs w:val="24"/>
              </w:rPr>
            </w:pPr>
            <w:r w:rsidRPr="009E27AE">
              <w:rPr>
                <w:rFonts w:cstheme="minorHAnsi"/>
              </w:rPr>
              <w:t xml:space="preserve">Les personnes </w:t>
            </w:r>
            <w:r w:rsidR="00D34D43" w:rsidRPr="009E27AE">
              <w:rPr>
                <w:rFonts w:cstheme="minorHAnsi"/>
              </w:rPr>
              <w:t xml:space="preserve">incapables de contracter </w:t>
            </w:r>
            <w:r w:rsidRPr="009E27AE">
              <w:rPr>
                <w:rFonts w:cstheme="minorHAnsi"/>
              </w:rPr>
              <w:t xml:space="preserve">sont </w:t>
            </w:r>
            <w:r w:rsidR="00D34D43" w:rsidRPr="009E27AE">
              <w:rPr>
                <w:rFonts w:cstheme="minorHAnsi"/>
              </w:rPr>
              <w:t>les mineurs non émancipés et les majeurs protégés.</w:t>
            </w:r>
            <w:r w:rsidRPr="009E27AE">
              <w:rPr>
                <w:rFonts w:cstheme="minorHAnsi"/>
              </w:rPr>
              <w:t xml:space="preserve"> </w:t>
            </w:r>
            <w:r w:rsidR="00D34D43" w:rsidRPr="009E27AE">
              <w:rPr>
                <w:rFonts w:cstheme="minorHAnsi"/>
              </w:rPr>
              <w:t>En théorie, l'acte conclu par un incapable devrait être annulé</w:t>
            </w:r>
            <w:r w:rsidR="00E20494" w:rsidRPr="009E27AE">
              <w:rPr>
                <w:rFonts w:cstheme="minorHAnsi"/>
              </w:rPr>
              <w:t xml:space="preserve">, mais ce n’est pas toujours le cas </w:t>
            </w:r>
            <w:r w:rsidR="00D34D43" w:rsidRPr="009E27AE">
              <w:rPr>
                <w:rFonts w:cstheme="minorHAnsi"/>
              </w:rPr>
              <w:t xml:space="preserve">pour des raisons de commodité </w:t>
            </w:r>
            <w:r w:rsidR="00E20494" w:rsidRPr="009E27AE">
              <w:rPr>
                <w:rFonts w:cstheme="minorHAnsi"/>
              </w:rPr>
              <w:t>ou</w:t>
            </w:r>
            <w:r w:rsidR="00D34D43" w:rsidRPr="009E27AE">
              <w:rPr>
                <w:rFonts w:cstheme="minorHAnsi"/>
              </w:rPr>
              <w:t xml:space="preserve"> pour des raisons d'équité</w:t>
            </w:r>
            <w:r w:rsidR="00E20494" w:rsidRPr="009E27AE">
              <w:rPr>
                <w:rFonts w:cstheme="minorHAnsi"/>
              </w:rPr>
              <w:t>. Ainsi, l</w:t>
            </w:r>
            <w:r w:rsidR="00D34D43" w:rsidRPr="009E27AE">
              <w:rPr>
                <w:rFonts w:cstheme="minorHAnsi"/>
              </w:rPr>
              <w:t xml:space="preserve">'acte ne </w:t>
            </w:r>
            <w:r w:rsidR="00E20494" w:rsidRPr="009E27AE">
              <w:rPr>
                <w:rFonts w:cstheme="minorHAnsi"/>
              </w:rPr>
              <w:t>sera</w:t>
            </w:r>
            <w:r w:rsidR="00D34D43" w:rsidRPr="009E27AE">
              <w:rPr>
                <w:rFonts w:cstheme="minorHAnsi"/>
              </w:rPr>
              <w:t xml:space="preserve"> annulé que s'il a causé une lésion à </w:t>
            </w:r>
            <w:r w:rsidR="00E20494" w:rsidRPr="009E27AE">
              <w:rPr>
                <w:rFonts w:cstheme="minorHAnsi"/>
              </w:rPr>
              <w:t xml:space="preserve">la personne </w:t>
            </w:r>
            <w:r w:rsidR="00D34D43" w:rsidRPr="009E27AE">
              <w:rPr>
                <w:rFonts w:cstheme="minorHAnsi"/>
              </w:rPr>
              <w:t>incapable.</w:t>
            </w:r>
          </w:p>
        </w:tc>
      </w:tr>
    </w:tbl>
    <w:p w14:paraId="680F6571" w14:textId="77777777" w:rsidR="00D34D43" w:rsidRPr="009E27AE" w:rsidRDefault="00D34D43" w:rsidP="00367AA7">
      <w:pPr>
        <w:spacing w:after="0" w:line="240" w:lineRule="auto"/>
        <w:ind w:right="-427"/>
        <w:jc w:val="both"/>
        <w:rPr>
          <w:rFonts w:eastAsia="Calibri" w:cstheme="minorHAnsi"/>
          <w:b/>
          <w:color w:val="548DD4" w:themeColor="text2" w:themeTint="99"/>
          <w:sz w:val="23"/>
          <w:szCs w:val="23"/>
        </w:rPr>
      </w:pPr>
    </w:p>
    <w:p w14:paraId="4DED6AC6" w14:textId="77777777" w:rsidR="007000B3" w:rsidRPr="009E27AE" w:rsidRDefault="007000B3" w:rsidP="00367AA7">
      <w:pPr>
        <w:spacing w:after="0" w:line="240" w:lineRule="auto"/>
        <w:ind w:right="-427"/>
        <w:jc w:val="both"/>
        <w:rPr>
          <w:rFonts w:eastAsia="Calibri" w:cstheme="minorHAnsi"/>
          <w:b/>
          <w:color w:val="548DD4" w:themeColor="text2" w:themeTint="99"/>
          <w:sz w:val="23"/>
          <w:szCs w:val="23"/>
        </w:rPr>
      </w:pPr>
    </w:p>
    <w:p w14:paraId="28261735" w14:textId="77777777" w:rsidR="007000B3" w:rsidRPr="009E27AE" w:rsidRDefault="007000B3" w:rsidP="007000B3">
      <w:pPr>
        <w:numPr>
          <w:ilvl w:val="0"/>
          <w:numId w:val="33"/>
        </w:numPr>
        <w:spacing w:after="0" w:line="240" w:lineRule="auto"/>
        <w:ind w:left="284" w:hanging="284"/>
        <w:contextualSpacing/>
        <w:rPr>
          <w:rFonts w:eastAsia="Calibri" w:cstheme="minorHAnsi"/>
          <w:b/>
          <w:color w:val="76923C" w:themeColor="accent3" w:themeShade="BF"/>
          <w:sz w:val="26"/>
          <w:szCs w:val="26"/>
          <w:u w:val="single"/>
        </w:rPr>
      </w:pPr>
      <w:r w:rsidRPr="009E27AE">
        <w:rPr>
          <w:rFonts w:eastAsia="Calibri" w:cstheme="minorHAnsi"/>
          <w:b/>
          <w:color w:val="76923C" w:themeColor="accent3" w:themeShade="BF"/>
          <w:sz w:val="26"/>
          <w:szCs w:val="26"/>
          <w:u w:val="single"/>
        </w:rPr>
        <w:t>Le contenu et les conditions de forme du contrat</w:t>
      </w:r>
    </w:p>
    <w:p w14:paraId="58550799" w14:textId="77777777" w:rsidR="00BB2560" w:rsidRPr="009E27AE" w:rsidRDefault="00BB2560" w:rsidP="00167990">
      <w:pPr>
        <w:spacing w:after="120" w:line="240" w:lineRule="auto"/>
        <w:ind w:right="-427"/>
        <w:jc w:val="both"/>
        <w:rPr>
          <w:rFonts w:eastAsia="Calibri" w:cstheme="minorHAnsi"/>
          <w:b/>
          <w:color w:val="548DD4" w:themeColor="text2" w:themeTint="99"/>
          <w:sz w:val="23"/>
          <w:szCs w:val="23"/>
        </w:rPr>
      </w:pPr>
    </w:p>
    <w:tbl>
      <w:tblPr>
        <w:tblStyle w:val="Grilledutableau"/>
        <w:tblW w:w="0" w:type="auto"/>
        <w:tblInd w:w="-34" w:type="dxa"/>
        <w:tblBorders>
          <w:insideH w:val="none" w:sz="0" w:space="0" w:color="auto"/>
          <w:insideV w:val="none" w:sz="0" w:space="0" w:color="auto"/>
        </w:tblBorders>
        <w:tblLook w:val="04A0" w:firstRow="1" w:lastRow="0" w:firstColumn="1" w:lastColumn="0" w:noHBand="0" w:noVBand="1"/>
      </w:tblPr>
      <w:tblGrid>
        <w:gridCol w:w="9662"/>
      </w:tblGrid>
      <w:tr w:rsidR="001A35A6" w:rsidRPr="009E27AE" w14:paraId="1FC4D438" w14:textId="77777777" w:rsidTr="00B96B8F">
        <w:tc>
          <w:tcPr>
            <w:tcW w:w="9888" w:type="dxa"/>
          </w:tcPr>
          <w:p w14:paraId="51114D07" w14:textId="77777777" w:rsidR="001A35A6" w:rsidRPr="009E27AE" w:rsidRDefault="001A35A6" w:rsidP="001A35A6">
            <w:pPr>
              <w:pStyle w:val="Titre1"/>
              <w:spacing w:before="0" w:after="120"/>
              <w:rPr>
                <w:rFonts w:asciiTheme="minorHAnsi" w:eastAsia="Calibri" w:hAnsiTheme="minorHAnsi" w:cstheme="minorHAnsi"/>
                <w:b w:val="0"/>
                <w:caps/>
                <w:sz w:val="24"/>
                <w:szCs w:val="24"/>
              </w:rPr>
            </w:pPr>
            <w:r w:rsidRPr="009E27AE">
              <w:rPr>
                <w:rFonts w:asciiTheme="minorHAnsi" w:hAnsiTheme="minorHAnsi" w:cstheme="minorHAnsi"/>
                <w:color w:val="E36C0A" w:themeColor="accent6" w:themeShade="BF"/>
                <w:sz w:val="24"/>
                <w:szCs w:val="24"/>
              </w:rPr>
              <w:t xml:space="preserve">Ressource </w:t>
            </w:r>
            <w:r w:rsidR="00134AEB" w:rsidRPr="009E27AE">
              <w:rPr>
                <w:rFonts w:asciiTheme="minorHAnsi" w:hAnsiTheme="minorHAnsi" w:cstheme="minorHAnsi"/>
                <w:color w:val="E36C0A" w:themeColor="accent6" w:themeShade="BF"/>
                <w:sz w:val="24"/>
                <w:szCs w:val="24"/>
              </w:rPr>
              <w:t>10</w:t>
            </w:r>
            <w:r w:rsidRPr="009E27AE">
              <w:rPr>
                <w:rFonts w:asciiTheme="minorHAnsi" w:hAnsiTheme="minorHAnsi" w:cstheme="minorHAnsi"/>
                <w:color w:val="E36C0A" w:themeColor="accent6" w:themeShade="BF"/>
                <w:sz w:val="24"/>
                <w:szCs w:val="24"/>
              </w:rPr>
              <w:t xml:space="preserve"> - La détermination du contenu contractuel</w:t>
            </w:r>
          </w:p>
        </w:tc>
      </w:tr>
      <w:tr w:rsidR="001A35A6" w:rsidRPr="009E27AE" w14:paraId="3E62A1CD" w14:textId="77777777" w:rsidTr="00B96B8F">
        <w:tc>
          <w:tcPr>
            <w:tcW w:w="9888" w:type="dxa"/>
          </w:tcPr>
          <w:p w14:paraId="5D0E378B" w14:textId="77777777" w:rsidR="00B96B8F" w:rsidRPr="009E27AE" w:rsidRDefault="00E35E3D" w:rsidP="00B96B8F">
            <w:pPr>
              <w:tabs>
                <w:tab w:val="left" w:pos="6490"/>
              </w:tabs>
              <w:jc w:val="both"/>
              <w:rPr>
                <w:rFonts w:cstheme="minorHAnsi"/>
                <w:b/>
              </w:rPr>
            </w:pPr>
            <w:r w:rsidRPr="009E27AE">
              <w:rPr>
                <w:rFonts w:cstheme="minorHAnsi"/>
                <w:b/>
                <w:color w:val="E36C0A" w:themeColor="accent6" w:themeShade="BF"/>
              </w:rPr>
              <w:t>Art. 1162</w:t>
            </w:r>
            <w:r w:rsidRPr="009E27AE">
              <w:rPr>
                <w:rFonts w:cstheme="minorHAnsi"/>
                <w:b/>
                <w:bCs/>
                <w:color w:val="E36C0A" w:themeColor="accent6" w:themeShade="BF"/>
              </w:rPr>
              <w:t>.</w:t>
            </w:r>
            <w:r w:rsidRPr="009E27AE">
              <w:rPr>
                <w:rFonts w:cstheme="minorHAnsi"/>
                <w:bCs/>
                <w:color w:val="E36C0A" w:themeColor="accent6" w:themeShade="BF"/>
              </w:rPr>
              <w:t>-</w:t>
            </w:r>
            <w:r w:rsidRPr="009E27AE">
              <w:rPr>
                <w:rFonts w:cstheme="minorHAnsi"/>
                <w:b/>
                <w:bCs/>
                <w:color w:val="E36C0A" w:themeColor="accent6" w:themeShade="BF"/>
              </w:rPr>
              <w:t xml:space="preserve"> </w:t>
            </w:r>
            <w:r w:rsidRPr="009E27AE">
              <w:rPr>
                <w:rFonts w:cstheme="minorHAnsi"/>
                <w:bCs/>
                <w:color w:val="E36C0A" w:themeColor="accent6" w:themeShade="BF"/>
              </w:rPr>
              <w:t>Le contrat ne peut déroger à l’ordre public ni par ses stipulations, ni par son but, que ce dernier ait été connu ou non par toutes les parties.</w:t>
            </w:r>
          </w:p>
          <w:p w14:paraId="0575A91D" w14:textId="77777777" w:rsidR="00B96B8F" w:rsidRPr="009E27AE" w:rsidRDefault="00B96B8F" w:rsidP="00B96B8F">
            <w:pPr>
              <w:tabs>
                <w:tab w:val="left" w:pos="6490"/>
              </w:tabs>
              <w:jc w:val="both"/>
              <w:rPr>
                <w:rFonts w:cstheme="minorHAnsi"/>
                <w:bCs/>
                <w:color w:val="E36C0A" w:themeColor="accent6" w:themeShade="BF"/>
              </w:rPr>
            </w:pPr>
            <w:r w:rsidRPr="009E27AE">
              <w:rPr>
                <w:rFonts w:cstheme="minorHAnsi"/>
                <w:b/>
                <w:color w:val="E36C0A" w:themeColor="accent6" w:themeShade="BF"/>
              </w:rPr>
              <w:t>Art. 1163.</w:t>
            </w:r>
            <w:r w:rsidRPr="009E27AE">
              <w:rPr>
                <w:rFonts w:cstheme="minorHAnsi"/>
                <w:color w:val="E36C0A" w:themeColor="accent6" w:themeShade="BF"/>
              </w:rPr>
              <w:t xml:space="preserve">- </w:t>
            </w:r>
            <w:r w:rsidRPr="009E27AE">
              <w:rPr>
                <w:rFonts w:cstheme="minorHAnsi"/>
                <w:bCs/>
                <w:color w:val="E36C0A" w:themeColor="accent6" w:themeShade="BF"/>
              </w:rPr>
              <w:t>L’obligation a pour objet une prestation présente ou future.</w:t>
            </w:r>
          </w:p>
          <w:p w14:paraId="0DE57A4E" w14:textId="77777777" w:rsidR="00E35E3D" w:rsidRPr="009E27AE" w:rsidRDefault="00B96B8F" w:rsidP="00B96B8F">
            <w:pPr>
              <w:tabs>
                <w:tab w:val="left" w:pos="6490"/>
              </w:tabs>
              <w:spacing w:after="240"/>
              <w:jc w:val="both"/>
              <w:rPr>
                <w:rFonts w:cstheme="minorHAnsi"/>
                <w:b/>
                <w:bCs/>
                <w:color w:val="E36C0A" w:themeColor="accent6" w:themeShade="BF"/>
              </w:rPr>
            </w:pPr>
            <w:r w:rsidRPr="009E27AE">
              <w:rPr>
                <w:rFonts w:cstheme="minorHAnsi"/>
                <w:bCs/>
                <w:color w:val="E36C0A" w:themeColor="accent6" w:themeShade="BF"/>
              </w:rPr>
              <w:t>Celle-ci doit être possible et déterminée ou déterminable.</w:t>
            </w:r>
          </w:p>
          <w:p w14:paraId="3791C1BA" w14:textId="77777777" w:rsidR="001A35A6" w:rsidRPr="009E27AE" w:rsidRDefault="00B96B8F" w:rsidP="00B96B8F">
            <w:pPr>
              <w:tabs>
                <w:tab w:val="left" w:pos="6490"/>
              </w:tabs>
              <w:jc w:val="both"/>
              <w:rPr>
                <w:rFonts w:cstheme="minorHAnsi"/>
              </w:rPr>
            </w:pPr>
            <w:r w:rsidRPr="009E27AE">
              <w:rPr>
                <w:rFonts w:cstheme="minorHAnsi"/>
                <w:bCs/>
              </w:rPr>
              <w:t xml:space="preserve">Le caractère licite d’un contrat ou licéité du contrat suppose que son contenu ne </w:t>
            </w:r>
            <w:r w:rsidR="008F4330" w:rsidRPr="009E27AE">
              <w:rPr>
                <w:rFonts w:cstheme="minorHAnsi"/>
                <w:bCs/>
              </w:rPr>
              <w:t xml:space="preserve">doit </w:t>
            </w:r>
            <w:r w:rsidR="00367AA7" w:rsidRPr="009E27AE">
              <w:rPr>
                <w:rFonts w:cstheme="minorHAnsi"/>
              </w:rPr>
              <w:t xml:space="preserve">déroger </w:t>
            </w:r>
            <w:r w:rsidR="008F4330" w:rsidRPr="009E27AE">
              <w:rPr>
                <w:rFonts w:cstheme="minorHAnsi"/>
              </w:rPr>
              <w:t xml:space="preserve">ni aux </w:t>
            </w:r>
            <w:r w:rsidR="00367AA7" w:rsidRPr="009E27AE">
              <w:rPr>
                <w:rFonts w:cstheme="minorHAnsi"/>
              </w:rPr>
              <w:t xml:space="preserve">règles </w:t>
            </w:r>
            <w:r w:rsidRPr="009E27AE">
              <w:rPr>
                <w:rFonts w:cstheme="minorHAnsi"/>
              </w:rPr>
              <w:t xml:space="preserve">ni </w:t>
            </w:r>
            <w:r w:rsidR="00367AA7" w:rsidRPr="009E27AE">
              <w:rPr>
                <w:rFonts w:cstheme="minorHAnsi"/>
              </w:rPr>
              <w:t>aux lois qui intéressent l'ordre public et les bonnes mœurs</w:t>
            </w:r>
            <w:r w:rsidRPr="009E27AE">
              <w:rPr>
                <w:rFonts w:cstheme="minorHAnsi"/>
              </w:rPr>
              <w:t xml:space="preserve">. </w:t>
            </w:r>
            <w:r w:rsidR="008F4330" w:rsidRPr="009E27AE">
              <w:rPr>
                <w:rFonts w:cstheme="minorHAnsi"/>
              </w:rPr>
              <w:t>L</w:t>
            </w:r>
            <w:r w:rsidR="00367AA7" w:rsidRPr="009E27AE">
              <w:rPr>
                <w:rFonts w:cstheme="minorHAnsi"/>
              </w:rPr>
              <w:t xml:space="preserve">es bonnes mœurs se définissent </w:t>
            </w:r>
            <w:r w:rsidRPr="009E27AE">
              <w:rPr>
                <w:rFonts w:cstheme="minorHAnsi"/>
              </w:rPr>
              <w:t xml:space="preserve">à la fois </w:t>
            </w:r>
            <w:r w:rsidR="00367AA7" w:rsidRPr="009E27AE">
              <w:rPr>
                <w:rFonts w:cstheme="minorHAnsi"/>
              </w:rPr>
              <w:t xml:space="preserve">par référence à </w:t>
            </w:r>
            <w:r w:rsidRPr="009E27AE">
              <w:rPr>
                <w:rFonts w:cstheme="minorHAnsi"/>
              </w:rPr>
              <w:t xml:space="preserve">des valeurs morales et par </w:t>
            </w:r>
            <w:r w:rsidR="00367AA7" w:rsidRPr="009E27AE">
              <w:rPr>
                <w:rFonts w:cstheme="minorHAnsi"/>
              </w:rPr>
              <w:t xml:space="preserve">ce que fait la majorité de la population). </w:t>
            </w:r>
          </w:p>
          <w:p w14:paraId="6DC1C9AB" w14:textId="77777777" w:rsidR="00B96B8F" w:rsidRPr="009E27AE" w:rsidRDefault="00B96B8F" w:rsidP="003724C5">
            <w:pPr>
              <w:tabs>
                <w:tab w:val="left" w:pos="6490"/>
              </w:tabs>
              <w:jc w:val="both"/>
              <w:rPr>
                <w:rFonts w:eastAsia="Calibri" w:cstheme="minorHAnsi"/>
                <w:caps/>
                <w:sz w:val="24"/>
                <w:szCs w:val="24"/>
              </w:rPr>
            </w:pPr>
            <w:r w:rsidRPr="009E27AE">
              <w:rPr>
                <w:rFonts w:cstheme="minorHAnsi"/>
              </w:rPr>
              <w:t xml:space="preserve">L'obligation née d’un contrat peut porter sur une chose future. Cela signifie qu'il n'est pas nécessaire que la chose existe au jour de la signature mais qu'il suffit </w:t>
            </w:r>
            <w:r w:rsidR="008F4330" w:rsidRPr="009E27AE">
              <w:rPr>
                <w:rFonts w:cstheme="minorHAnsi"/>
              </w:rPr>
              <w:t>qu'elle puisse exister</w:t>
            </w:r>
            <w:r w:rsidRPr="009E27AE">
              <w:rPr>
                <w:rFonts w:cstheme="minorHAnsi"/>
              </w:rPr>
              <w:t xml:space="preserve">. </w:t>
            </w:r>
            <w:r w:rsidR="003724C5" w:rsidRPr="009E27AE">
              <w:rPr>
                <w:rFonts w:cstheme="minorHAnsi"/>
              </w:rPr>
              <w:t>En revanche</w:t>
            </w:r>
            <w:r w:rsidRPr="009E27AE">
              <w:rPr>
                <w:rFonts w:cstheme="minorHAnsi"/>
              </w:rPr>
              <w:t xml:space="preserve">, la prestation doit être suffisamment décrite pour être déterminée ou déterminable. </w:t>
            </w:r>
          </w:p>
        </w:tc>
      </w:tr>
    </w:tbl>
    <w:p w14:paraId="23BA221E" w14:textId="77777777" w:rsidR="00E20494" w:rsidRPr="009E27AE" w:rsidRDefault="00E20494" w:rsidP="00E20494">
      <w:pPr>
        <w:spacing w:after="0" w:line="240" w:lineRule="auto"/>
        <w:rPr>
          <w:rFonts w:cstheme="minorHAnsi"/>
        </w:rPr>
      </w:pPr>
    </w:p>
    <w:tbl>
      <w:tblPr>
        <w:tblStyle w:val="Grilledutableau"/>
        <w:tblW w:w="0" w:type="auto"/>
        <w:tblInd w:w="-34" w:type="dxa"/>
        <w:tblBorders>
          <w:insideH w:val="none" w:sz="0" w:space="0" w:color="auto"/>
          <w:insideV w:val="none" w:sz="0" w:space="0" w:color="auto"/>
        </w:tblBorders>
        <w:tblLook w:val="04A0" w:firstRow="1" w:lastRow="0" w:firstColumn="1" w:lastColumn="0" w:noHBand="0" w:noVBand="1"/>
      </w:tblPr>
      <w:tblGrid>
        <w:gridCol w:w="9662"/>
      </w:tblGrid>
      <w:tr w:rsidR="00440BD5" w:rsidRPr="009E27AE" w14:paraId="59185617" w14:textId="77777777" w:rsidTr="00821838">
        <w:tc>
          <w:tcPr>
            <w:tcW w:w="9888" w:type="dxa"/>
          </w:tcPr>
          <w:p w14:paraId="36BBAE3E" w14:textId="77777777" w:rsidR="00440BD5" w:rsidRPr="009E27AE" w:rsidRDefault="00440BD5" w:rsidP="00134AEB">
            <w:pPr>
              <w:pStyle w:val="Titre1"/>
              <w:spacing w:before="0" w:after="120"/>
              <w:rPr>
                <w:rFonts w:asciiTheme="minorHAnsi" w:eastAsia="Calibri" w:hAnsiTheme="minorHAnsi" w:cstheme="minorHAnsi"/>
                <w:b w:val="0"/>
                <w:caps/>
                <w:sz w:val="24"/>
                <w:szCs w:val="24"/>
              </w:rPr>
            </w:pPr>
            <w:r w:rsidRPr="009E27AE">
              <w:rPr>
                <w:rFonts w:asciiTheme="minorHAnsi" w:hAnsiTheme="minorHAnsi" w:cstheme="minorHAnsi"/>
                <w:color w:val="E36C0A" w:themeColor="accent6" w:themeShade="BF"/>
                <w:sz w:val="24"/>
                <w:szCs w:val="24"/>
              </w:rPr>
              <w:t xml:space="preserve">Ressource </w:t>
            </w:r>
            <w:r w:rsidR="00134AEB" w:rsidRPr="009E27AE">
              <w:rPr>
                <w:rFonts w:asciiTheme="minorHAnsi" w:hAnsiTheme="minorHAnsi" w:cstheme="minorHAnsi"/>
                <w:color w:val="E36C0A" w:themeColor="accent6" w:themeShade="BF"/>
                <w:sz w:val="24"/>
                <w:szCs w:val="24"/>
              </w:rPr>
              <w:t>11 -</w:t>
            </w:r>
            <w:r w:rsidRPr="009E27AE">
              <w:rPr>
                <w:rFonts w:asciiTheme="minorHAnsi" w:hAnsiTheme="minorHAnsi" w:cstheme="minorHAnsi"/>
                <w:color w:val="E36C0A" w:themeColor="accent6" w:themeShade="BF"/>
                <w:sz w:val="24"/>
                <w:szCs w:val="24"/>
              </w:rPr>
              <w:t xml:space="preserve"> </w:t>
            </w:r>
            <w:r w:rsidR="00134AEB" w:rsidRPr="009E27AE">
              <w:rPr>
                <w:rFonts w:asciiTheme="minorHAnsi" w:hAnsiTheme="minorHAnsi" w:cstheme="minorHAnsi"/>
                <w:color w:val="E36C0A" w:themeColor="accent6" w:themeShade="BF"/>
                <w:sz w:val="24"/>
                <w:szCs w:val="24"/>
              </w:rPr>
              <w:t>Les conditions de forme</w:t>
            </w:r>
          </w:p>
        </w:tc>
      </w:tr>
      <w:tr w:rsidR="00440BD5" w:rsidRPr="009E27AE" w14:paraId="24B7E34F" w14:textId="77777777" w:rsidTr="00821838">
        <w:tc>
          <w:tcPr>
            <w:tcW w:w="9888" w:type="dxa"/>
          </w:tcPr>
          <w:p w14:paraId="15AB9AD5" w14:textId="77777777" w:rsidR="00134AEB" w:rsidRPr="009E27AE" w:rsidRDefault="00134AEB" w:rsidP="00134AEB">
            <w:pPr>
              <w:tabs>
                <w:tab w:val="left" w:pos="6490"/>
              </w:tabs>
              <w:jc w:val="both"/>
              <w:rPr>
                <w:rFonts w:cstheme="minorHAnsi"/>
                <w:bCs/>
                <w:color w:val="E36C0A" w:themeColor="accent6" w:themeShade="BF"/>
              </w:rPr>
            </w:pPr>
            <w:r w:rsidRPr="009E27AE">
              <w:rPr>
                <w:rFonts w:cstheme="minorHAnsi"/>
                <w:b/>
                <w:bCs/>
                <w:color w:val="E36C0A" w:themeColor="accent6" w:themeShade="BF"/>
              </w:rPr>
              <w:t>Art. 1172.</w:t>
            </w:r>
            <w:r w:rsidRPr="009E27AE">
              <w:rPr>
                <w:rFonts w:cstheme="minorHAnsi"/>
                <w:bCs/>
                <w:color w:val="E36C0A" w:themeColor="accent6" w:themeShade="BF"/>
              </w:rPr>
              <w:t>- Les contrats sont par principe consensuels.</w:t>
            </w:r>
          </w:p>
          <w:p w14:paraId="735F951F" w14:textId="77777777" w:rsidR="00134AEB" w:rsidRPr="009E27AE" w:rsidRDefault="00134AEB" w:rsidP="00134AEB">
            <w:pPr>
              <w:tabs>
                <w:tab w:val="left" w:pos="6490"/>
              </w:tabs>
              <w:jc w:val="both"/>
              <w:rPr>
                <w:rFonts w:cstheme="minorHAnsi"/>
                <w:bCs/>
                <w:color w:val="E36C0A" w:themeColor="accent6" w:themeShade="BF"/>
              </w:rPr>
            </w:pPr>
            <w:r w:rsidRPr="009E27AE">
              <w:rPr>
                <w:rFonts w:cstheme="minorHAnsi"/>
                <w:bCs/>
                <w:color w:val="E36C0A" w:themeColor="accent6" w:themeShade="BF"/>
              </w:rPr>
              <w:t>Par exception, la validité des contrats solennels est subordonnée à l’observation de formes déterminées par la loi à défaut de laquelle le contrat est nul, sauf possible régularisation.</w:t>
            </w:r>
          </w:p>
          <w:p w14:paraId="34E8CBDC" w14:textId="77777777" w:rsidR="00134AEB" w:rsidRPr="009E27AE" w:rsidRDefault="00134AEB" w:rsidP="00134AEB">
            <w:pPr>
              <w:tabs>
                <w:tab w:val="left" w:pos="6490"/>
              </w:tabs>
              <w:jc w:val="both"/>
              <w:rPr>
                <w:rFonts w:cstheme="minorHAnsi"/>
              </w:rPr>
            </w:pPr>
          </w:p>
          <w:p w14:paraId="61E18BAA" w14:textId="77777777" w:rsidR="00440BD5" w:rsidRPr="009E27AE" w:rsidRDefault="000E65D3" w:rsidP="000E65D3">
            <w:pPr>
              <w:tabs>
                <w:tab w:val="left" w:pos="6490"/>
              </w:tabs>
              <w:jc w:val="both"/>
              <w:rPr>
                <w:rFonts w:cstheme="minorHAnsi"/>
              </w:rPr>
            </w:pPr>
            <w:r w:rsidRPr="009E27AE">
              <w:rPr>
                <w:rFonts w:cstheme="minorHAnsi"/>
              </w:rPr>
              <w:t xml:space="preserve">Bien que le contrat repose en principe sur le consentement, certains contrats doivent néanmoins remplir </w:t>
            </w:r>
            <w:r w:rsidRPr="009E27AE">
              <w:rPr>
                <w:rFonts w:cstheme="minorHAnsi"/>
              </w:rPr>
              <w:lastRenderedPageBreak/>
              <w:t xml:space="preserve">des conditions de forme </w:t>
            </w:r>
            <w:r w:rsidR="00134AEB" w:rsidRPr="009E27AE">
              <w:rPr>
                <w:rFonts w:cstheme="minorHAnsi"/>
              </w:rPr>
              <w:t>à peine de nullité</w:t>
            </w:r>
            <w:r w:rsidRPr="009E27AE">
              <w:rPr>
                <w:rFonts w:cstheme="minorHAnsi"/>
              </w:rPr>
              <w:t xml:space="preserve">. C’est le cas du contrat de </w:t>
            </w:r>
            <w:r w:rsidR="00134AEB" w:rsidRPr="009E27AE">
              <w:rPr>
                <w:rFonts w:cstheme="minorHAnsi"/>
              </w:rPr>
              <w:t>donation</w:t>
            </w:r>
            <w:r w:rsidRPr="009E27AE">
              <w:rPr>
                <w:rFonts w:cstheme="minorHAnsi"/>
              </w:rPr>
              <w:t xml:space="preserve"> ou</w:t>
            </w:r>
            <w:r w:rsidR="00134AEB" w:rsidRPr="009E27AE">
              <w:rPr>
                <w:rFonts w:cstheme="minorHAnsi"/>
              </w:rPr>
              <w:t xml:space="preserve"> </w:t>
            </w:r>
            <w:r w:rsidRPr="009E27AE">
              <w:rPr>
                <w:rFonts w:cstheme="minorHAnsi"/>
              </w:rPr>
              <w:t xml:space="preserve"> du </w:t>
            </w:r>
            <w:r w:rsidR="00134AEB" w:rsidRPr="009E27AE">
              <w:rPr>
                <w:rFonts w:cstheme="minorHAnsi"/>
              </w:rPr>
              <w:t>contrat de mariage</w:t>
            </w:r>
            <w:r w:rsidRPr="009E27AE">
              <w:rPr>
                <w:rFonts w:cstheme="minorHAnsi"/>
              </w:rPr>
              <w:t xml:space="preserve"> par exemples. Il est </w:t>
            </w:r>
            <w:r w:rsidR="00134AEB" w:rsidRPr="009E27AE">
              <w:rPr>
                <w:rFonts w:cstheme="minorHAnsi"/>
              </w:rPr>
              <w:t xml:space="preserve">parfois </w:t>
            </w:r>
            <w:r w:rsidRPr="009E27AE">
              <w:rPr>
                <w:rFonts w:cstheme="minorHAnsi"/>
              </w:rPr>
              <w:t>exiger</w:t>
            </w:r>
            <w:r w:rsidR="00134AEB" w:rsidRPr="009E27AE">
              <w:rPr>
                <w:rFonts w:cstheme="minorHAnsi"/>
              </w:rPr>
              <w:t xml:space="preserve"> que le contrat soit entièrement rédigé par écrit</w:t>
            </w:r>
            <w:r w:rsidRPr="009E27AE">
              <w:rPr>
                <w:rFonts w:cstheme="minorHAnsi"/>
              </w:rPr>
              <w:t xml:space="preserve"> ou que </w:t>
            </w:r>
            <w:r w:rsidR="00134AEB" w:rsidRPr="009E27AE">
              <w:rPr>
                <w:rFonts w:cstheme="minorHAnsi"/>
              </w:rPr>
              <w:t xml:space="preserve">le contrat reproduise une disposition légale, </w:t>
            </w:r>
            <w:r w:rsidRPr="009E27AE">
              <w:rPr>
                <w:rFonts w:cstheme="minorHAnsi"/>
              </w:rPr>
              <w:t xml:space="preserve">ou encore que des mentions soient apposées (paraphes). </w:t>
            </w:r>
          </w:p>
        </w:tc>
      </w:tr>
    </w:tbl>
    <w:p w14:paraId="3D980C6A" w14:textId="77777777" w:rsidR="00440BD5" w:rsidRPr="009E27AE" w:rsidRDefault="00440BD5" w:rsidP="00E20494">
      <w:pPr>
        <w:tabs>
          <w:tab w:val="left" w:pos="6490"/>
        </w:tabs>
        <w:spacing w:after="0" w:line="240" w:lineRule="auto"/>
        <w:jc w:val="both"/>
        <w:rPr>
          <w:rFonts w:cstheme="minorHAnsi"/>
        </w:rPr>
      </w:pPr>
    </w:p>
    <w:p w14:paraId="49E0BDCE" w14:textId="77777777" w:rsidR="000E65D3" w:rsidRPr="009E27AE" w:rsidRDefault="000E65D3" w:rsidP="00E20494">
      <w:pPr>
        <w:tabs>
          <w:tab w:val="left" w:pos="6490"/>
        </w:tabs>
        <w:spacing w:after="0" w:line="240" w:lineRule="auto"/>
        <w:jc w:val="both"/>
        <w:rPr>
          <w:rFonts w:cstheme="minorHAnsi"/>
        </w:rPr>
      </w:pPr>
    </w:p>
    <w:p w14:paraId="4DDE67E5" w14:textId="77777777" w:rsidR="00E20494" w:rsidRPr="009E27AE" w:rsidRDefault="00E20494" w:rsidP="000E65D3">
      <w:pPr>
        <w:numPr>
          <w:ilvl w:val="0"/>
          <w:numId w:val="33"/>
        </w:numPr>
        <w:spacing w:after="0" w:line="240" w:lineRule="auto"/>
        <w:ind w:left="284" w:hanging="284"/>
        <w:contextualSpacing/>
        <w:rPr>
          <w:rFonts w:eastAsia="Calibri" w:cstheme="minorHAnsi"/>
          <w:b/>
          <w:color w:val="76923C" w:themeColor="accent3" w:themeShade="BF"/>
          <w:sz w:val="26"/>
          <w:szCs w:val="26"/>
          <w:u w:val="single"/>
        </w:rPr>
      </w:pPr>
      <w:r w:rsidRPr="009E27AE">
        <w:rPr>
          <w:rFonts w:eastAsia="Calibri" w:cstheme="minorHAnsi"/>
          <w:b/>
          <w:color w:val="76923C" w:themeColor="accent3" w:themeShade="BF"/>
          <w:sz w:val="26"/>
          <w:szCs w:val="26"/>
          <w:u w:val="single"/>
        </w:rPr>
        <w:t>Les sanctions de la malformation du contrat : la nullité</w:t>
      </w:r>
      <w:r w:rsidR="000E65D3" w:rsidRPr="009E27AE">
        <w:rPr>
          <w:rFonts w:eastAsia="Calibri" w:cstheme="minorHAnsi"/>
          <w:b/>
          <w:color w:val="76923C" w:themeColor="accent3" w:themeShade="BF"/>
          <w:sz w:val="26"/>
          <w:szCs w:val="26"/>
          <w:u w:val="single"/>
        </w:rPr>
        <w:t xml:space="preserve"> et la caducité</w:t>
      </w:r>
    </w:p>
    <w:p w14:paraId="684490C9" w14:textId="77777777" w:rsidR="000E65D3" w:rsidRPr="009E27AE" w:rsidRDefault="000E65D3" w:rsidP="000E65D3">
      <w:pPr>
        <w:spacing w:after="0" w:line="240" w:lineRule="auto"/>
        <w:contextualSpacing/>
        <w:rPr>
          <w:rFonts w:eastAsia="Calibri" w:cstheme="minorHAnsi"/>
          <w:b/>
          <w:color w:val="76923C" w:themeColor="accent3" w:themeShade="BF"/>
          <w:sz w:val="26"/>
          <w:szCs w:val="26"/>
          <w:u w:val="single"/>
        </w:rPr>
      </w:pPr>
    </w:p>
    <w:tbl>
      <w:tblPr>
        <w:tblStyle w:val="Grilledutableau"/>
        <w:tblW w:w="0" w:type="auto"/>
        <w:tblInd w:w="-34" w:type="dxa"/>
        <w:tblBorders>
          <w:insideH w:val="none" w:sz="0" w:space="0" w:color="auto"/>
          <w:insideV w:val="none" w:sz="0" w:space="0" w:color="auto"/>
        </w:tblBorders>
        <w:tblLook w:val="04A0" w:firstRow="1" w:lastRow="0" w:firstColumn="1" w:lastColumn="0" w:noHBand="0" w:noVBand="1"/>
      </w:tblPr>
      <w:tblGrid>
        <w:gridCol w:w="9662"/>
      </w:tblGrid>
      <w:tr w:rsidR="000E65D3" w:rsidRPr="009E27AE" w14:paraId="47294CCF" w14:textId="77777777" w:rsidTr="00821838">
        <w:tc>
          <w:tcPr>
            <w:tcW w:w="9888" w:type="dxa"/>
          </w:tcPr>
          <w:p w14:paraId="29734BA2" w14:textId="77777777" w:rsidR="000E65D3" w:rsidRPr="009E27AE" w:rsidRDefault="000E65D3" w:rsidP="00821838">
            <w:pPr>
              <w:pStyle w:val="Titre1"/>
              <w:spacing w:before="0" w:after="120"/>
              <w:rPr>
                <w:rFonts w:asciiTheme="minorHAnsi" w:eastAsia="Calibri" w:hAnsiTheme="minorHAnsi" w:cstheme="minorHAnsi"/>
                <w:b w:val="0"/>
                <w:caps/>
                <w:sz w:val="24"/>
                <w:szCs w:val="24"/>
              </w:rPr>
            </w:pPr>
            <w:r w:rsidRPr="009E27AE">
              <w:rPr>
                <w:rFonts w:asciiTheme="minorHAnsi" w:hAnsiTheme="minorHAnsi" w:cstheme="minorHAnsi"/>
                <w:color w:val="E36C0A" w:themeColor="accent6" w:themeShade="BF"/>
                <w:sz w:val="24"/>
                <w:szCs w:val="24"/>
              </w:rPr>
              <w:t>Ressource 11 - Les conditions de forme</w:t>
            </w:r>
          </w:p>
        </w:tc>
      </w:tr>
      <w:tr w:rsidR="000E65D3" w:rsidRPr="009E27AE" w14:paraId="64A06F23" w14:textId="77777777" w:rsidTr="00821838">
        <w:tc>
          <w:tcPr>
            <w:tcW w:w="9888" w:type="dxa"/>
          </w:tcPr>
          <w:p w14:paraId="16747B91" w14:textId="77777777" w:rsidR="000E65D3" w:rsidRPr="009E27AE" w:rsidRDefault="000E65D3" w:rsidP="000E65D3">
            <w:pPr>
              <w:tabs>
                <w:tab w:val="left" w:pos="6490"/>
              </w:tabs>
              <w:jc w:val="both"/>
              <w:rPr>
                <w:rFonts w:cstheme="minorHAnsi"/>
                <w:bCs/>
                <w:color w:val="E36C0A" w:themeColor="accent6" w:themeShade="BF"/>
              </w:rPr>
            </w:pPr>
            <w:r w:rsidRPr="009E27AE">
              <w:rPr>
                <w:rFonts w:cstheme="minorHAnsi"/>
                <w:b/>
                <w:bCs/>
                <w:color w:val="E36C0A" w:themeColor="accent6" w:themeShade="BF"/>
              </w:rPr>
              <w:t>Art. 1178.</w:t>
            </w:r>
            <w:r w:rsidRPr="009E27AE">
              <w:rPr>
                <w:rFonts w:cstheme="minorHAnsi"/>
                <w:bCs/>
                <w:color w:val="E36C0A" w:themeColor="accent6" w:themeShade="BF"/>
              </w:rPr>
              <w:t>- Un contrat qui ne remplit pas les conditions requises pour sa validité est nul. La nullité doit être prononcée par le juge, à moins que les parties ne la constatent d’un commun accord.</w:t>
            </w:r>
          </w:p>
          <w:p w14:paraId="0DB51F67" w14:textId="77777777" w:rsidR="000E65D3" w:rsidRPr="009E27AE" w:rsidRDefault="000E65D3" w:rsidP="000E65D3">
            <w:pPr>
              <w:tabs>
                <w:tab w:val="left" w:pos="6490"/>
              </w:tabs>
              <w:jc w:val="both"/>
              <w:rPr>
                <w:rFonts w:cstheme="minorHAnsi"/>
                <w:bCs/>
                <w:color w:val="E36C0A" w:themeColor="accent6" w:themeShade="BF"/>
              </w:rPr>
            </w:pPr>
            <w:r w:rsidRPr="009E27AE">
              <w:rPr>
                <w:rFonts w:cstheme="minorHAnsi"/>
                <w:bCs/>
                <w:color w:val="E36C0A" w:themeColor="accent6" w:themeShade="BF"/>
              </w:rPr>
              <w:t>Le contrat annulé est censé n’avoir jamais existé. […]</w:t>
            </w:r>
          </w:p>
          <w:p w14:paraId="78826EF5" w14:textId="77777777" w:rsidR="000E65D3" w:rsidRPr="009E27AE" w:rsidRDefault="000E65D3" w:rsidP="000E65D3">
            <w:pPr>
              <w:tabs>
                <w:tab w:val="left" w:pos="6490"/>
              </w:tabs>
              <w:jc w:val="both"/>
              <w:rPr>
                <w:rFonts w:cstheme="minorHAnsi"/>
                <w:bCs/>
                <w:color w:val="E36C0A" w:themeColor="accent6" w:themeShade="BF"/>
              </w:rPr>
            </w:pPr>
            <w:r w:rsidRPr="009E27AE">
              <w:rPr>
                <w:rFonts w:cstheme="minorHAnsi"/>
                <w:b/>
                <w:bCs/>
                <w:color w:val="E36C0A" w:themeColor="accent6" w:themeShade="BF"/>
              </w:rPr>
              <w:t>Art. 1186.</w:t>
            </w:r>
            <w:r w:rsidRPr="009E27AE">
              <w:rPr>
                <w:rFonts w:cstheme="minorHAnsi"/>
                <w:bCs/>
                <w:color w:val="E36C0A" w:themeColor="accent6" w:themeShade="BF"/>
              </w:rPr>
              <w:t>- Un contrat valablement formé devient caduc si l’un de ses éléments essentiels disparaît.</w:t>
            </w:r>
          </w:p>
          <w:p w14:paraId="3EE7A437" w14:textId="77777777" w:rsidR="000E65D3" w:rsidRPr="009E27AE" w:rsidRDefault="000E65D3" w:rsidP="000E65D3">
            <w:pPr>
              <w:tabs>
                <w:tab w:val="left" w:pos="6490"/>
              </w:tabs>
              <w:jc w:val="both"/>
              <w:rPr>
                <w:rFonts w:cstheme="minorHAnsi"/>
                <w:bCs/>
                <w:color w:val="E36C0A" w:themeColor="accent6" w:themeShade="BF"/>
              </w:rPr>
            </w:pPr>
            <w:r w:rsidRPr="009E27AE">
              <w:rPr>
                <w:rFonts w:cstheme="minorHAnsi"/>
                <w:b/>
                <w:bCs/>
                <w:color w:val="E36C0A" w:themeColor="accent6" w:themeShade="BF"/>
              </w:rPr>
              <w:t>Art. 1187.</w:t>
            </w:r>
            <w:r w:rsidRPr="009E27AE">
              <w:rPr>
                <w:rFonts w:cstheme="minorHAnsi"/>
                <w:bCs/>
                <w:color w:val="E36C0A" w:themeColor="accent6" w:themeShade="BF"/>
              </w:rPr>
              <w:t>- La caducité met fin au contrat.</w:t>
            </w:r>
          </w:p>
          <w:p w14:paraId="5793AB85" w14:textId="77777777" w:rsidR="000E65D3" w:rsidRPr="009E27AE" w:rsidRDefault="000E65D3" w:rsidP="000E65D3">
            <w:pPr>
              <w:tabs>
                <w:tab w:val="left" w:pos="6490"/>
              </w:tabs>
              <w:jc w:val="both"/>
              <w:rPr>
                <w:rFonts w:cstheme="minorHAnsi"/>
                <w:bCs/>
                <w:color w:val="E36C0A" w:themeColor="accent6" w:themeShade="BF"/>
              </w:rPr>
            </w:pPr>
          </w:p>
          <w:p w14:paraId="5727E97A" w14:textId="77777777" w:rsidR="000E65D3" w:rsidRPr="009E27AE" w:rsidRDefault="00286838" w:rsidP="000E65D3">
            <w:pPr>
              <w:tabs>
                <w:tab w:val="left" w:pos="6490"/>
              </w:tabs>
              <w:jc w:val="both"/>
              <w:rPr>
                <w:rFonts w:cstheme="minorHAnsi"/>
              </w:rPr>
            </w:pPr>
            <w:r w:rsidRPr="009E27AE">
              <w:rPr>
                <w:rFonts w:cstheme="minorHAnsi"/>
              </w:rPr>
              <w:t xml:space="preserve">Les contractants peuvent décider de mettre fin à un contrat, on parle alors de </w:t>
            </w:r>
            <w:r w:rsidR="000E65D3" w:rsidRPr="009E27AE">
              <w:rPr>
                <w:rFonts w:cstheme="minorHAnsi"/>
                <w:b/>
              </w:rPr>
              <w:t>nullité</w:t>
            </w:r>
            <w:r w:rsidR="000E65D3" w:rsidRPr="009E27AE">
              <w:rPr>
                <w:rFonts w:cstheme="minorHAnsi"/>
              </w:rPr>
              <w:t xml:space="preserve"> conventionnelle</w:t>
            </w:r>
            <w:r w:rsidRPr="009E27AE">
              <w:rPr>
                <w:rFonts w:cstheme="minorHAnsi"/>
              </w:rPr>
              <w:t xml:space="preserve">. </w:t>
            </w:r>
          </w:p>
          <w:p w14:paraId="3134D732" w14:textId="77777777" w:rsidR="00286838" w:rsidRPr="009E27AE" w:rsidRDefault="00286838" w:rsidP="00286838">
            <w:pPr>
              <w:tabs>
                <w:tab w:val="left" w:pos="6490"/>
              </w:tabs>
              <w:jc w:val="both"/>
              <w:rPr>
                <w:rFonts w:cstheme="minorHAnsi"/>
              </w:rPr>
            </w:pPr>
            <w:r w:rsidRPr="009E27AE">
              <w:rPr>
                <w:rFonts w:cstheme="minorHAnsi"/>
              </w:rPr>
              <w:t>On distingue cependant deux types de nullité : l</w:t>
            </w:r>
            <w:r w:rsidR="000E65D3" w:rsidRPr="009E27AE">
              <w:rPr>
                <w:rFonts w:cstheme="minorHAnsi"/>
              </w:rPr>
              <w:t xml:space="preserve">a </w:t>
            </w:r>
            <w:r w:rsidR="000E65D3" w:rsidRPr="009E27AE">
              <w:rPr>
                <w:rFonts w:cstheme="minorHAnsi"/>
                <w:i/>
              </w:rPr>
              <w:t>nullité relative</w:t>
            </w:r>
            <w:r w:rsidR="000E65D3" w:rsidRPr="009E27AE">
              <w:rPr>
                <w:rFonts w:cstheme="minorHAnsi"/>
              </w:rPr>
              <w:t xml:space="preserve"> </w:t>
            </w:r>
            <w:r w:rsidRPr="009E27AE">
              <w:rPr>
                <w:rFonts w:cstheme="minorHAnsi"/>
              </w:rPr>
              <w:t xml:space="preserve">qui s’applique à un </w:t>
            </w:r>
            <w:r w:rsidR="000E65D3" w:rsidRPr="009E27AE">
              <w:rPr>
                <w:rFonts w:cstheme="minorHAnsi"/>
              </w:rPr>
              <w:t>contrat protégeant un intérêt particulier</w:t>
            </w:r>
            <w:r w:rsidRPr="009E27AE">
              <w:rPr>
                <w:rFonts w:cstheme="minorHAnsi"/>
              </w:rPr>
              <w:t xml:space="preserve"> et l</w:t>
            </w:r>
            <w:r w:rsidR="000E65D3" w:rsidRPr="009E27AE">
              <w:rPr>
                <w:rFonts w:cstheme="minorHAnsi"/>
              </w:rPr>
              <w:t xml:space="preserve">a </w:t>
            </w:r>
            <w:r w:rsidR="000E65D3" w:rsidRPr="009E27AE">
              <w:rPr>
                <w:rFonts w:cstheme="minorHAnsi"/>
                <w:i/>
              </w:rPr>
              <w:t>nullité absolue</w:t>
            </w:r>
            <w:r w:rsidR="000E65D3" w:rsidRPr="009E27AE">
              <w:rPr>
                <w:rFonts w:cstheme="minorHAnsi"/>
              </w:rPr>
              <w:t xml:space="preserve"> </w:t>
            </w:r>
            <w:r w:rsidRPr="009E27AE">
              <w:rPr>
                <w:rFonts w:cstheme="minorHAnsi"/>
              </w:rPr>
              <w:t xml:space="preserve">qui concerne un contrat </w:t>
            </w:r>
            <w:r w:rsidR="000E65D3" w:rsidRPr="009E27AE">
              <w:rPr>
                <w:rFonts w:cstheme="minorHAnsi"/>
              </w:rPr>
              <w:t xml:space="preserve">protégeant l'intérêt général. </w:t>
            </w:r>
          </w:p>
          <w:p w14:paraId="533065E4" w14:textId="77777777" w:rsidR="00286838" w:rsidRPr="009E27AE" w:rsidRDefault="000E65D3" w:rsidP="00286838">
            <w:pPr>
              <w:tabs>
                <w:tab w:val="left" w:pos="6490"/>
              </w:tabs>
              <w:jc w:val="both"/>
              <w:rPr>
                <w:rFonts w:cstheme="minorHAnsi"/>
              </w:rPr>
            </w:pPr>
            <w:r w:rsidRPr="009E27AE">
              <w:rPr>
                <w:rFonts w:cstheme="minorHAnsi"/>
              </w:rPr>
              <w:t>L'action</w:t>
            </w:r>
            <w:r w:rsidR="00286838" w:rsidRPr="009E27AE">
              <w:rPr>
                <w:rFonts w:cstheme="minorHAnsi"/>
              </w:rPr>
              <w:t xml:space="preserve"> en nullité</w:t>
            </w:r>
            <w:r w:rsidRPr="009E27AE">
              <w:rPr>
                <w:rFonts w:cstheme="minorHAnsi"/>
              </w:rPr>
              <w:t xml:space="preserve"> peut être intentée par tout</w:t>
            </w:r>
            <w:r w:rsidR="00286838" w:rsidRPr="009E27AE">
              <w:rPr>
                <w:rFonts w:cstheme="minorHAnsi"/>
              </w:rPr>
              <w:t>e</w:t>
            </w:r>
            <w:r w:rsidRPr="009E27AE">
              <w:rPr>
                <w:rFonts w:cstheme="minorHAnsi"/>
              </w:rPr>
              <w:t xml:space="preserve"> </w:t>
            </w:r>
            <w:r w:rsidR="00286838" w:rsidRPr="009E27AE">
              <w:rPr>
                <w:rFonts w:cstheme="minorHAnsi"/>
              </w:rPr>
              <w:t xml:space="preserve">personne qui </w:t>
            </w:r>
            <w:r w:rsidRPr="009E27AE">
              <w:rPr>
                <w:rFonts w:cstheme="minorHAnsi"/>
              </w:rPr>
              <w:t>a</w:t>
            </w:r>
            <w:r w:rsidR="00286838" w:rsidRPr="009E27AE">
              <w:rPr>
                <w:rFonts w:cstheme="minorHAnsi"/>
              </w:rPr>
              <w:t xml:space="preserve"> un intérêt à agir (un</w:t>
            </w:r>
            <w:r w:rsidRPr="009E27AE">
              <w:rPr>
                <w:rFonts w:cstheme="minorHAnsi"/>
              </w:rPr>
              <w:t xml:space="preserve"> contractant, </w:t>
            </w:r>
            <w:r w:rsidR="00286838" w:rsidRPr="009E27AE">
              <w:rPr>
                <w:rFonts w:cstheme="minorHAnsi"/>
              </w:rPr>
              <w:t>un héritier, un créancier, le ministère public…).</w:t>
            </w:r>
          </w:p>
          <w:p w14:paraId="02C1B5AC" w14:textId="77777777" w:rsidR="00286838" w:rsidRPr="009E27AE" w:rsidRDefault="00286838" w:rsidP="000E65D3">
            <w:pPr>
              <w:tabs>
                <w:tab w:val="left" w:pos="6490"/>
              </w:tabs>
              <w:jc w:val="both"/>
              <w:rPr>
                <w:rFonts w:cstheme="minorHAnsi"/>
              </w:rPr>
            </w:pPr>
            <w:r w:rsidRPr="009E27AE">
              <w:rPr>
                <w:rFonts w:cstheme="minorHAnsi"/>
              </w:rPr>
              <w:t xml:space="preserve">L’annulation peut porter sur une </w:t>
            </w:r>
            <w:r w:rsidR="000E65D3" w:rsidRPr="009E27AE">
              <w:rPr>
                <w:rFonts w:cstheme="minorHAnsi"/>
              </w:rPr>
              <w:t xml:space="preserve">stipulation du contrat </w:t>
            </w:r>
            <w:r w:rsidRPr="009E27AE">
              <w:rPr>
                <w:rFonts w:cstheme="minorHAnsi"/>
              </w:rPr>
              <w:t>comme par exemple une</w:t>
            </w:r>
            <w:r w:rsidR="000E65D3" w:rsidRPr="009E27AE">
              <w:rPr>
                <w:rFonts w:cstheme="minorHAnsi"/>
              </w:rPr>
              <w:t xml:space="preserve"> clause d'indexation</w:t>
            </w:r>
            <w:r w:rsidRPr="009E27AE">
              <w:rPr>
                <w:rFonts w:cstheme="minorHAnsi"/>
              </w:rPr>
              <w:t xml:space="preserve"> ou une</w:t>
            </w:r>
            <w:r w:rsidR="000E65D3" w:rsidRPr="009E27AE">
              <w:rPr>
                <w:rFonts w:cstheme="minorHAnsi"/>
              </w:rPr>
              <w:t xml:space="preserve"> de non-concurrence.... </w:t>
            </w:r>
            <w:r w:rsidRPr="009E27AE">
              <w:rPr>
                <w:rFonts w:cstheme="minorHAnsi"/>
              </w:rPr>
              <w:t xml:space="preserve">Lorsqu’une clause est considérée « abusive », elle est alors </w:t>
            </w:r>
            <w:r w:rsidR="000E65D3" w:rsidRPr="009E27AE">
              <w:rPr>
                <w:rFonts w:cstheme="minorHAnsi"/>
              </w:rPr>
              <w:t>réputée</w:t>
            </w:r>
            <w:r w:rsidRPr="009E27AE">
              <w:rPr>
                <w:rFonts w:cstheme="minorHAnsi"/>
              </w:rPr>
              <w:t xml:space="preserve"> non écrite.</w:t>
            </w:r>
          </w:p>
          <w:p w14:paraId="5C6332CB" w14:textId="77777777" w:rsidR="000E65D3" w:rsidRPr="009E27AE" w:rsidRDefault="000E65D3" w:rsidP="00896416">
            <w:pPr>
              <w:tabs>
                <w:tab w:val="left" w:pos="6490"/>
              </w:tabs>
              <w:jc w:val="both"/>
              <w:rPr>
                <w:rFonts w:cstheme="minorHAnsi"/>
              </w:rPr>
            </w:pPr>
            <w:r w:rsidRPr="009E27AE">
              <w:rPr>
                <w:rFonts w:cstheme="minorHAnsi"/>
              </w:rPr>
              <w:t xml:space="preserve">La </w:t>
            </w:r>
            <w:r w:rsidRPr="009E27AE">
              <w:rPr>
                <w:rFonts w:cstheme="minorHAnsi"/>
                <w:b/>
              </w:rPr>
              <w:t>caducité</w:t>
            </w:r>
            <w:r w:rsidRPr="009E27AE">
              <w:rPr>
                <w:rFonts w:cstheme="minorHAnsi"/>
              </w:rPr>
              <w:t xml:space="preserve"> </w:t>
            </w:r>
            <w:r w:rsidR="00821838" w:rsidRPr="009E27AE">
              <w:rPr>
                <w:rFonts w:cstheme="minorHAnsi"/>
              </w:rPr>
              <w:t>peut être prononcée lorsqu’un</w:t>
            </w:r>
            <w:r w:rsidRPr="009E27AE">
              <w:rPr>
                <w:rFonts w:cstheme="minorHAnsi"/>
              </w:rPr>
              <w:t xml:space="preserve"> contrat perd, au cours de son exécution, un des éléments nécessaire à son existence</w:t>
            </w:r>
            <w:r w:rsidR="00821838" w:rsidRPr="009E27AE">
              <w:rPr>
                <w:rFonts w:cstheme="minorHAnsi"/>
              </w:rPr>
              <w:t xml:space="preserve">. </w:t>
            </w:r>
            <w:r w:rsidR="00896416" w:rsidRPr="009E27AE">
              <w:rPr>
                <w:rFonts w:cstheme="minorHAnsi"/>
              </w:rPr>
              <w:t xml:space="preserve">Le contrat devient caduque </w:t>
            </w:r>
            <w:r w:rsidR="00821838" w:rsidRPr="009E27AE">
              <w:rPr>
                <w:rFonts w:cstheme="minorHAnsi"/>
              </w:rPr>
              <w:t xml:space="preserve">quand l’un des </w:t>
            </w:r>
            <w:r w:rsidRPr="009E27AE">
              <w:rPr>
                <w:rFonts w:cstheme="minorHAnsi"/>
              </w:rPr>
              <w:t>éléments nécessaires à</w:t>
            </w:r>
            <w:r w:rsidR="00821838" w:rsidRPr="009E27AE">
              <w:rPr>
                <w:rFonts w:cstheme="minorHAnsi"/>
              </w:rPr>
              <w:t xml:space="preserve"> sa</w:t>
            </w:r>
            <w:r w:rsidRPr="009E27AE">
              <w:rPr>
                <w:rFonts w:cstheme="minorHAnsi"/>
              </w:rPr>
              <w:t xml:space="preserve"> validité </w:t>
            </w:r>
            <w:r w:rsidR="00896416" w:rsidRPr="009E27AE">
              <w:rPr>
                <w:rFonts w:cstheme="minorHAnsi"/>
              </w:rPr>
              <w:t>(</w:t>
            </w:r>
            <w:r w:rsidRPr="009E27AE">
              <w:rPr>
                <w:rFonts w:cstheme="minorHAnsi"/>
              </w:rPr>
              <w:t>le consentement, la capacité, le contenu licite et certain)</w:t>
            </w:r>
            <w:r w:rsidR="00896416" w:rsidRPr="009E27AE">
              <w:rPr>
                <w:rFonts w:cstheme="minorHAnsi"/>
              </w:rPr>
              <w:t xml:space="preserve"> fait défaut.</w:t>
            </w:r>
          </w:p>
        </w:tc>
      </w:tr>
    </w:tbl>
    <w:p w14:paraId="79D476F1" w14:textId="77777777" w:rsidR="000E65D3" w:rsidRPr="009E27AE" w:rsidRDefault="000E65D3" w:rsidP="000E65D3">
      <w:pPr>
        <w:spacing w:after="0" w:line="240" w:lineRule="auto"/>
        <w:contextualSpacing/>
        <w:rPr>
          <w:rFonts w:eastAsia="Calibri" w:cstheme="minorHAnsi"/>
          <w:b/>
          <w:color w:val="76923C" w:themeColor="accent3" w:themeShade="BF"/>
          <w:sz w:val="26"/>
          <w:szCs w:val="26"/>
          <w:u w:val="single"/>
        </w:rPr>
      </w:pPr>
    </w:p>
    <w:p w14:paraId="4FC5B4BF" w14:textId="77777777" w:rsidR="00E20494" w:rsidRPr="009E27AE" w:rsidRDefault="00E20494" w:rsidP="00E20494">
      <w:pPr>
        <w:tabs>
          <w:tab w:val="left" w:pos="6490"/>
        </w:tabs>
        <w:spacing w:after="0" w:line="240" w:lineRule="auto"/>
        <w:jc w:val="both"/>
        <w:rPr>
          <w:rFonts w:cstheme="minorHAnsi"/>
        </w:rPr>
      </w:pPr>
    </w:p>
    <w:p w14:paraId="07F7AF7B" w14:textId="2A28D789" w:rsidR="002B3D7F" w:rsidRPr="009E27AE" w:rsidRDefault="00E20494" w:rsidP="00C1227A">
      <w:pPr>
        <w:rPr>
          <w:rFonts w:eastAsia="Calibri" w:cstheme="minorHAnsi"/>
          <w:b/>
          <w:caps/>
          <w:color w:val="4F6228" w:themeColor="accent3" w:themeShade="80"/>
          <w:sz w:val="26"/>
          <w:szCs w:val="26"/>
          <w:u w:val="single"/>
        </w:rPr>
      </w:pPr>
      <w:r w:rsidRPr="009E27AE">
        <w:rPr>
          <w:rFonts w:eastAsia="Calibri" w:cstheme="minorHAnsi"/>
          <w:b/>
          <w:caps/>
          <w:sz w:val="24"/>
          <w:szCs w:val="24"/>
          <w:u w:val="single"/>
        </w:rPr>
        <w:br w:type="page"/>
      </w:r>
      <w:r w:rsidR="002B3D7F" w:rsidRPr="009E27AE">
        <w:rPr>
          <w:rFonts w:eastAsia="Calibri" w:cstheme="minorHAnsi"/>
          <w:b/>
          <w:caps/>
          <w:color w:val="4F6228" w:themeColor="accent3" w:themeShade="80"/>
          <w:sz w:val="26"/>
          <w:szCs w:val="26"/>
          <w:u w:val="single"/>
        </w:rPr>
        <w:lastRenderedPageBreak/>
        <w:t xml:space="preserve">Les effets du contrat </w:t>
      </w:r>
      <w:r w:rsidR="00A47F45" w:rsidRPr="009E27AE">
        <w:rPr>
          <w:rFonts w:eastAsia="Calibri" w:cstheme="minorHAnsi"/>
          <w:b/>
          <w:caps/>
          <w:color w:val="4F6228" w:themeColor="accent3" w:themeShade="80"/>
          <w:sz w:val="26"/>
          <w:szCs w:val="26"/>
          <w:u w:val="single"/>
        </w:rPr>
        <w:t>sur</w:t>
      </w:r>
      <w:r w:rsidR="002B3D7F" w:rsidRPr="009E27AE">
        <w:rPr>
          <w:rFonts w:eastAsia="Calibri" w:cstheme="minorHAnsi"/>
          <w:b/>
          <w:caps/>
          <w:color w:val="4F6228" w:themeColor="accent3" w:themeShade="80"/>
          <w:sz w:val="26"/>
          <w:szCs w:val="26"/>
          <w:u w:val="single"/>
        </w:rPr>
        <w:t xml:space="preserve"> les parties</w:t>
      </w:r>
    </w:p>
    <w:p w14:paraId="4413C558" w14:textId="77777777" w:rsidR="002B3D7F" w:rsidRPr="009E27AE" w:rsidRDefault="002B3D7F" w:rsidP="002B3D7F">
      <w:pPr>
        <w:pStyle w:val="Paragraphedeliste"/>
        <w:spacing w:after="0" w:line="240" w:lineRule="auto"/>
        <w:ind w:left="284"/>
        <w:rPr>
          <w:rFonts w:eastAsia="Calibri" w:cstheme="minorHAnsi"/>
          <w:b/>
          <w:caps/>
          <w:sz w:val="24"/>
          <w:szCs w:val="24"/>
          <w:u w:val="single"/>
        </w:rPr>
      </w:pPr>
    </w:p>
    <w:p w14:paraId="45869BA2" w14:textId="77777777" w:rsidR="002B3D7F" w:rsidRPr="009E27AE" w:rsidRDefault="00A47F45" w:rsidP="009E4886">
      <w:pPr>
        <w:numPr>
          <w:ilvl w:val="0"/>
          <w:numId w:val="34"/>
        </w:numPr>
        <w:spacing w:after="0" w:line="240" w:lineRule="auto"/>
        <w:ind w:left="284" w:hanging="284"/>
        <w:contextualSpacing/>
        <w:rPr>
          <w:rFonts w:eastAsia="Calibri" w:cstheme="minorHAnsi"/>
          <w:b/>
          <w:color w:val="76923C" w:themeColor="accent3" w:themeShade="BF"/>
          <w:sz w:val="26"/>
          <w:szCs w:val="26"/>
          <w:u w:val="single"/>
        </w:rPr>
      </w:pPr>
      <w:r w:rsidRPr="009E27AE">
        <w:rPr>
          <w:rFonts w:eastAsia="Calibri" w:cstheme="minorHAnsi"/>
          <w:b/>
          <w:color w:val="76923C" w:themeColor="accent3" w:themeShade="BF"/>
          <w:sz w:val="26"/>
          <w:szCs w:val="26"/>
          <w:u w:val="single"/>
        </w:rPr>
        <w:t>L’effet obligatoire</w:t>
      </w:r>
      <w:r w:rsidR="00AA5BE9" w:rsidRPr="009E27AE">
        <w:rPr>
          <w:rFonts w:eastAsia="Calibri" w:cstheme="minorHAnsi"/>
          <w:b/>
          <w:color w:val="76923C" w:themeColor="accent3" w:themeShade="BF"/>
          <w:sz w:val="26"/>
          <w:szCs w:val="26"/>
          <w:u w:val="single"/>
        </w:rPr>
        <w:t xml:space="preserve"> du contrat</w:t>
      </w:r>
    </w:p>
    <w:p w14:paraId="580D6773" w14:textId="77777777" w:rsidR="00AA5BE9" w:rsidRPr="009E27AE" w:rsidRDefault="00AA5BE9" w:rsidP="00AA5BE9">
      <w:pPr>
        <w:spacing w:after="0" w:line="240" w:lineRule="auto"/>
        <w:contextualSpacing/>
        <w:rPr>
          <w:rFonts w:eastAsia="Calibri" w:cstheme="minorHAnsi"/>
          <w:b/>
          <w:sz w:val="24"/>
          <w:szCs w:val="24"/>
        </w:rPr>
      </w:pPr>
    </w:p>
    <w:tbl>
      <w:tblPr>
        <w:tblStyle w:val="Grilledutableau"/>
        <w:tblW w:w="0" w:type="auto"/>
        <w:tblInd w:w="-34" w:type="dxa"/>
        <w:tblBorders>
          <w:insideH w:val="none" w:sz="0" w:space="0" w:color="auto"/>
          <w:insideV w:val="none" w:sz="0" w:space="0" w:color="auto"/>
        </w:tblBorders>
        <w:tblLook w:val="04A0" w:firstRow="1" w:lastRow="0" w:firstColumn="1" w:lastColumn="0" w:noHBand="0" w:noVBand="1"/>
      </w:tblPr>
      <w:tblGrid>
        <w:gridCol w:w="9662"/>
      </w:tblGrid>
      <w:tr w:rsidR="00AA5BE9" w:rsidRPr="009E27AE" w14:paraId="4BA46BE0" w14:textId="77777777" w:rsidTr="002A6C54">
        <w:tc>
          <w:tcPr>
            <w:tcW w:w="9888" w:type="dxa"/>
          </w:tcPr>
          <w:p w14:paraId="15467934" w14:textId="77777777" w:rsidR="00AA5BE9" w:rsidRPr="009E27AE" w:rsidRDefault="00AA5BE9" w:rsidP="0046659D">
            <w:pPr>
              <w:pStyle w:val="Titre1"/>
              <w:spacing w:before="0" w:after="120"/>
              <w:rPr>
                <w:rFonts w:asciiTheme="minorHAnsi" w:eastAsia="Calibri" w:hAnsiTheme="minorHAnsi" w:cstheme="minorHAnsi"/>
                <w:b w:val="0"/>
                <w:caps/>
                <w:sz w:val="24"/>
                <w:szCs w:val="24"/>
              </w:rPr>
            </w:pPr>
            <w:r w:rsidRPr="009E27AE">
              <w:rPr>
                <w:rFonts w:asciiTheme="minorHAnsi" w:hAnsiTheme="minorHAnsi" w:cstheme="minorHAnsi"/>
                <w:color w:val="E36C0A" w:themeColor="accent6" w:themeShade="BF"/>
                <w:sz w:val="24"/>
                <w:szCs w:val="24"/>
              </w:rPr>
              <w:t>R</w:t>
            </w:r>
            <w:r w:rsidR="0046659D" w:rsidRPr="009E27AE">
              <w:rPr>
                <w:rFonts w:asciiTheme="minorHAnsi" w:hAnsiTheme="minorHAnsi" w:cstheme="minorHAnsi"/>
                <w:color w:val="E36C0A" w:themeColor="accent6" w:themeShade="BF"/>
                <w:sz w:val="24"/>
                <w:szCs w:val="24"/>
              </w:rPr>
              <w:t>essource 12</w:t>
            </w:r>
            <w:r w:rsidRPr="009E27AE">
              <w:rPr>
                <w:rFonts w:asciiTheme="minorHAnsi" w:hAnsiTheme="minorHAnsi" w:cstheme="minorHAnsi"/>
                <w:color w:val="E36C0A" w:themeColor="accent6" w:themeShade="BF"/>
                <w:sz w:val="24"/>
                <w:szCs w:val="24"/>
              </w:rPr>
              <w:t xml:space="preserve"> </w:t>
            </w:r>
            <w:r w:rsidR="0046659D" w:rsidRPr="009E27AE">
              <w:rPr>
                <w:rFonts w:asciiTheme="minorHAnsi" w:hAnsiTheme="minorHAnsi" w:cstheme="minorHAnsi"/>
                <w:color w:val="E36C0A" w:themeColor="accent6" w:themeShade="BF"/>
                <w:sz w:val="24"/>
                <w:szCs w:val="24"/>
              </w:rPr>
              <w:t>-</w:t>
            </w:r>
            <w:r w:rsidRPr="009E27AE">
              <w:rPr>
                <w:rFonts w:asciiTheme="minorHAnsi" w:hAnsiTheme="minorHAnsi" w:cstheme="minorHAnsi"/>
                <w:color w:val="E36C0A" w:themeColor="accent6" w:themeShade="BF"/>
                <w:sz w:val="24"/>
                <w:szCs w:val="24"/>
              </w:rPr>
              <w:t xml:space="preserve"> </w:t>
            </w:r>
            <w:r w:rsidR="0046659D" w:rsidRPr="009E27AE">
              <w:rPr>
                <w:rFonts w:asciiTheme="minorHAnsi" w:hAnsiTheme="minorHAnsi" w:cstheme="minorHAnsi"/>
                <w:color w:val="E36C0A" w:themeColor="accent6" w:themeShade="BF"/>
                <w:sz w:val="24"/>
                <w:szCs w:val="24"/>
              </w:rPr>
              <w:t>L’</w:t>
            </w:r>
            <w:r w:rsidRPr="009E27AE">
              <w:rPr>
                <w:rFonts w:asciiTheme="minorHAnsi" w:hAnsiTheme="minorHAnsi" w:cstheme="minorHAnsi"/>
                <w:color w:val="E36C0A" w:themeColor="accent6" w:themeShade="BF"/>
                <w:sz w:val="24"/>
                <w:szCs w:val="24"/>
              </w:rPr>
              <w:t>étendue de l’effet obligatoire</w:t>
            </w:r>
          </w:p>
        </w:tc>
      </w:tr>
      <w:tr w:rsidR="00AA5BE9" w:rsidRPr="009E27AE" w14:paraId="61EF36F1" w14:textId="77777777" w:rsidTr="002A6C54">
        <w:tc>
          <w:tcPr>
            <w:tcW w:w="9888" w:type="dxa"/>
          </w:tcPr>
          <w:p w14:paraId="7DCB3BC0" w14:textId="77777777" w:rsidR="00AA5BE9" w:rsidRPr="009E27AE" w:rsidRDefault="00AA5BE9" w:rsidP="00AA5BE9">
            <w:pPr>
              <w:tabs>
                <w:tab w:val="left" w:pos="6490"/>
              </w:tabs>
              <w:jc w:val="both"/>
              <w:rPr>
                <w:rFonts w:cstheme="minorHAnsi"/>
                <w:b/>
                <w:color w:val="E36C0A" w:themeColor="accent6" w:themeShade="BF"/>
              </w:rPr>
            </w:pPr>
            <w:r w:rsidRPr="009E27AE">
              <w:rPr>
                <w:rFonts w:cstheme="minorHAnsi"/>
                <w:b/>
                <w:bCs/>
                <w:color w:val="E36C0A" w:themeColor="accent6" w:themeShade="BF"/>
              </w:rPr>
              <w:t>Art. 1194.-</w:t>
            </w:r>
            <w:r w:rsidRPr="009E27AE">
              <w:rPr>
                <w:rFonts w:cstheme="minorHAnsi"/>
                <w:color w:val="E36C0A" w:themeColor="accent6" w:themeShade="BF"/>
              </w:rPr>
              <w:t xml:space="preserve"> Les contrats obligent non seulement à ce qui y est exprimé, mais encore à toutes les suites que leur donnent l’équité, l’usage ou la loi.</w:t>
            </w:r>
          </w:p>
          <w:p w14:paraId="78C02A9C" w14:textId="77777777" w:rsidR="00AA5BE9" w:rsidRPr="009E27AE" w:rsidRDefault="00AA5BE9" w:rsidP="00AA5BE9">
            <w:pPr>
              <w:tabs>
                <w:tab w:val="left" w:pos="6490"/>
              </w:tabs>
              <w:jc w:val="both"/>
              <w:rPr>
                <w:rFonts w:cstheme="minorHAnsi"/>
                <w:color w:val="E36C0A" w:themeColor="accent6" w:themeShade="BF"/>
              </w:rPr>
            </w:pPr>
            <w:r w:rsidRPr="009E27AE">
              <w:rPr>
                <w:rFonts w:cstheme="minorHAnsi"/>
                <w:b/>
                <w:bCs/>
                <w:color w:val="E36C0A" w:themeColor="accent6" w:themeShade="BF"/>
              </w:rPr>
              <w:t>Art. 1195</w:t>
            </w:r>
            <w:r w:rsidRPr="009E27AE">
              <w:rPr>
                <w:rFonts w:cstheme="minorHAnsi"/>
                <w:b/>
                <w:color w:val="E36C0A" w:themeColor="accent6" w:themeShade="BF"/>
              </w:rPr>
              <w:t>.-</w:t>
            </w:r>
            <w:r w:rsidRPr="009E27AE">
              <w:rPr>
                <w:rFonts w:cstheme="minorHAnsi"/>
                <w:color w:val="E36C0A" w:themeColor="accent6" w:themeShade="BF"/>
              </w:rPr>
              <w:t xml:space="preserve"> Si un changement de circonstances imprévisible lors de la conclusion du contrat rend l’exécution excessivement onéreuse pour une partie qui n’avait pas accepté d’en assumer le risque, celle-ci peut demander une renégociation du contrat à son cocontractant. […]</w:t>
            </w:r>
          </w:p>
          <w:p w14:paraId="7F2F983B" w14:textId="77777777" w:rsidR="00AA5BE9" w:rsidRPr="009E27AE" w:rsidRDefault="00AA5BE9" w:rsidP="002A6C54">
            <w:pPr>
              <w:tabs>
                <w:tab w:val="left" w:pos="6490"/>
              </w:tabs>
              <w:jc w:val="both"/>
              <w:rPr>
                <w:rFonts w:cstheme="minorHAnsi"/>
                <w:bCs/>
                <w:color w:val="E36C0A" w:themeColor="accent6" w:themeShade="BF"/>
              </w:rPr>
            </w:pPr>
          </w:p>
          <w:p w14:paraId="5FF00F7C" w14:textId="77777777" w:rsidR="001B4ED1" w:rsidRPr="009E27AE" w:rsidRDefault="0046659D" w:rsidP="001B4ED1">
            <w:pPr>
              <w:tabs>
                <w:tab w:val="left" w:pos="6490"/>
              </w:tabs>
              <w:jc w:val="both"/>
              <w:rPr>
                <w:rFonts w:cstheme="minorHAnsi"/>
              </w:rPr>
            </w:pPr>
            <w:r w:rsidRPr="009E27AE">
              <w:rPr>
                <w:rFonts w:cstheme="minorHAnsi"/>
              </w:rPr>
              <w:t xml:space="preserve">L'effet obligatoire du contrat se manifeste </w:t>
            </w:r>
            <w:r w:rsidR="001B4ED1" w:rsidRPr="009E27AE">
              <w:rPr>
                <w:rFonts w:cstheme="minorHAnsi"/>
              </w:rPr>
              <w:t xml:space="preserve">avant tout </w:t>
            </w:r>
            <w:r w:rsidRPr="009E27AE">
              <w:rPr>
                <w:rFonts w:cstheme="minorHAnsi"/>
              </w:rPr>
              <w:t xml:space="preserve">à l'égard des </w:t>
            </w:r>
            <w:r w:rsidR="001B4ED1" w:rsidRPr="009E27AE">
              <w:rPr>
                <w:rFonts w:cstheme="minorHAnsi"/>
              </w:rPr>
              <w:t xml:space="preserve">contractants. </w:t>
            </w:r>
            <w:r w:rsidRPr="009E27AE">
              <w:rPr>
                <w:rFonts w:cstheme="minorHAnsi"/>
              </w:rPr>
              <w:t xml:space="preserve"> </w:t>
            </w:r>
            <w:r w:rsidR="001B4ED1" w:rsidRPr="009E27AE">
              <w:rPr>
                <w:rFonts w:cstheme="minorHAnsi"/>
              </w:rPr>
              <w:t xml:space="preserve">En effet, l’article 1103 du Code civil prévoit que « Les contrats légalement formés tiennent lieu de loi à ceux qui les ont faits. » </w:t>
            </w:r>
          </w:p>
          <w:p w14:paraId="178EF239" w14:textId="77777777" w:rsidR="00AA5BE9" w:rsidRPr="009E27AE" w:rsidRDefault="001B4ED1" w:rsidP="001B4ED1">
            <w:pPr>
              <w:tabs>
                <w:tab w:val="left" w:pos="6490"/>
              </w:tabs>
              <w:jc w:val="both"/>
              <w:rPr>
                <w:rFonts w:cstheme="minorHAnsi"/>
              </w:rPr>
            </w:pPr>
            <w:r w:rsidRPr="009E27AE">
              <w:rPr>
                <w:rFonts w:cstheme="minorHAnsi"/>
              </w:rPr>
              <w:t>Par ailleurs, l</w:t>
            </w:r>
            <w:r w:rsidR="0046659D" w:rsidRPr="009E27AE">
              <w:rPr>
                <w:rFonts w:cstheme="minorHAnsi"/>
              </w:rPr>
              <w:t>orsqu'un contrat est devenu</w:t>
            </w:r>
            <w:r w:rsidRPr="009E27AE">
              <w:rPr>
                <w:rFonts w:cstheme="minorHAnsi"/>
              </w:rPr>
              <w:t xml:space="preserve"> déséquilibré pour une partie</w:t>
            </w:r>
            <w:r w:rsidR="0046659D" w:rsidRPr="009E27AE">
              <w:rPr>
                <w:rFonts w:cstheme="minorHAnsi"/>
              </w:rPr>
              <w:t xml:space="preserve">, du fait </w:t>
            </w:r>
            <w:r w:rsidRPr="009E27AE">
              <w:rPr>
                <w:rFonts w:cstheme="minorHAnsi"/>
              </w:rPr>
              <w:t>d’un changement de circonstances imprévisibles comme une modification</w:t>
            </w:r>
            <w:r w:rsidR="0046659D" w:rsidRPr="009E27AE">
              <w:rPr>
                <w:rFonts w:cstheme="minorHAnsi"/>
              </w:rPr>
              <w:t xml:space="preserve"> de l'environnement économique</w:t>
            </w:r>
            <w:r w:rsidRPr="009E27AE">
              <w:rPr>
                <w:rFonts w:cstheme="minorHAnsi"/>
              </w:rPr>
              <w:t xml:space="preserve"> par exemple, </w:t>
            </w:r>
            <w:r w:rsidR="0046659D" w:rsidRPr="009E27AE">
              <w:rPr>
                <w:rFonts w:cstheme="minorHAnsi"/>
              </w:rPr>
              <w:t>le juge peut le modifier pour tenir compte de</w:t>
            </w:r>
            <w:r w:rsidRPr="009E27AE">
              <w:rPr>
                <w:rFonts w:cstheme="minorHAnsi"/>
              </w:rPr>
              <w:t xml:space="preserve"> nouvelles</w:t>
            </w:r>
            <w:r w:rsidR="0046659D" w:rsidRPr="009E27AE">
              <w:rPr>
                <w:rFonts w:cstheme="minorHAnsi"/>
              </w:rPr>
              <w:t xml:space="preserve"> difficultés d'exécution</w:t>
            </w:r>
            <w:r w:rsidRPr="009E27AE">
              <w:rPr>
                <w:rFonts w:cstheme="minorHAnsi"/>
              </w:rPr>
              <w:t>.</w:t>
            </w:r>
          </w:p>
        </w:tc>
      </w:tr>
    </w:tbl>
    <w:p w14:paraId="311BAB45" w14:textId="77777777" w:rsidR="00AA5BE9" w:rsidRPr="009E27AE" w:rsidRDefault="00AA5BE9" w:rsidP="00AA5BE9">
      <w:pPr>
        <w:spacing w:after="0" w:line="240" w:lineRule="auto"/>
        <w:contextualSpacing/>
        <w:rPr>
          <w:rFonts w:eastAsia="Calibri" w:cstheme="minorHAnsi"/>
          <w:b/>
          <w:sz w:val="24"/>
          <w:szCs w:val="24"/>
        </w:rPr>
      </w:pPr>
    </w:p>
    <w:p w14:paraId="73B47476" w14:textId="77777777" w:rsidR="002B3D7F" w:rsidRPr="009E27AE" w:rsidRDefault="002B3D7F" w:rsidP="002B3D7F">
      <w:pPr>
        <w:pStyle w:val="Paragraphedeliste"/>
        <w:spacing w:after="0" w:line="240" w:lineRule="auto"/>
        <w:ind w:left="284"/>
        <w:rPr>
          <w:rFonts w:eastAsia="Calibri" w:cstheme="minorHAnsi"/>
          <w:b/>
          <w:caps/>
          <w:sz w:val="24"/>
          <w:szCs w:val="24"/>
          <w:u w:val="single"/>
        </w:rPr>
      </w:pPr>
    </w:p>
    <w:p w14:paraId="6CE4C1C2" w14:textId="77777777" w:rsidR="00985BA3" w:rsidRPr="009E27AE" w:rsidRDefault="00985BA3" w:rsidP="009E4886">
      <w:pPr>
        <w:numPr>
          <w:ilvl w:val="0"/>
          <w:numId w:val="34"/>
        </w:numPr>
        <w:spacing w:after="0" w:line="240" w:lineRule="auto"/>
        <w:ind w:left="284" w:hanging="284"/>
        <w:contextualSpacing/>
        <w:rPr>
          <w:rFonts w:eastAsia="Calibri" w:cstheme="minorHAnsi"/>
          <w:b/>
          <w:color w:val="76923C" w:themeColor="accent3" w:themeShade="BF"/>
          <w:sz w:val="26"/>
          <w:szCs w:val="26"/>
          <w:u w:val="single"/>
        </w:rPr>
      </w:pPr>
      <w:r w:rsidRPr="009E27AE">
        <w:rPr>
          <w:rFonts w:eastAsia="Calibri" w:cstheme="minorHAnsi"/>
          <w:b/>
          <w:color w:val="76923C" w:themeColor="accent3" w:themeShade="BF"/>
          <w:sz w:val="26"/>
          <w:szCs w:val="26"/>
          <w:u w:val="single"/>
        </w:rPr>
        <w:t>L</w:t>
      </w:r>
      <w:r w:rsidR="00A47F45" w:rsidRPr="009E27AE">
        <w:rPr>
          <w:rFonts w:eastAsia="Calibri" w:cstheme="minorHAnsi"/>
          <w:b/>
          <w:color w:val="76923C" w:themeColor="accent3" w:themeShade="BF"/>
          <w:sz w:val="26"/>
          <w:szCs w:val="26"/>
          <w:u w:val="single"/>
        </w:rPr>
        <w:t>’effet translatif</w:t>
      </w:r>
      <w:r w:rsidR="009E4886" w:rsidRPr="009E27AE">
        <w:rPr>
          <w:rFonts w:eastAsia="Calibri" w:cstheme="minorHAnsi"/>
          <w:b/>
          <w:color w:val="76923C" w:themeColor="accent3" w:themeShade="BF"/>
          <w:sz w:val="26"/>
          <w:szCs w:val="26"/>
          <w:u w:val="single"/>
        </w:rPr>
        <w:t xml:space="preserve"> du contrat</w:t>
      </w:r>
    </w:p>
    <w:p w14:paraId="1EEA2916" w14:textId="77777777" w:rsidR="009E4886" w:rsidRPr="009E27AE" w:rsidRDefault="009E4886" w:rsidP="009E4886">
      <w:pPr>
        <w:spacing w:after="0" w:line="240" w:lineRule="auto"/>
        <w:ind w:left="284"/>
        <w:contextualSpacing/>
        <w:rPr>
          <w:rFonts w:eastAsia="Calibri" w:cstheme="minorHAnsi"/>
          <w:b/>
          <w:sz w:val="24"/>
          <w:szCs w:val="24"/>
        </w:rPr>
      </w:pPr>
    </w:p>
    <w:tbl>
      <w:tblPr>
        <w:tblStyle w:val="Grilledutableau"/>
        <w:tblW w:w="0" w:type="auto"/>
        <w:tblInd w:w="-34" w:type="dxa"/>
        <w:tblBorders>
          <w:insideH w:val="none" w:sz="0" w:space="0" w:color="auto"/>
          <w:insideV w:val="none" w:sz="0" w:space="0" w:color="auto"/>
        </w:tblBorders>
        <w:tblLook w:val="04A0" w:firstRow="1" w:lastRow="0" w:firstColumn="1" w:lastColumn="0" w:noHBand="0" w:noVBand="1"/>
      </w:tblPr>
      <w:tblGrid>
        <w:gridCol w:w="9662"/>
      </w:tblGrid>
      <w:tr w:rsidR="009E4886" w:rsidRPr="009E27AE" w14:paraId="1187EBFD" w14:textId="77777777" w:rsidTr="002A6C54">
        <w:tc>
          <w:tcPr>
            <w:tcW w:w="9888" w:type="dxa"/>
          </w:tcPr>
          <w:p w14:paraId="18370357" w14:textId="77777777" w:rsidR="009E4886" w:rsidRPr="009E27AE" w:rsidRDefault="009E4886" w:rsidP="002A6C54">
            <w:pPr>
              <w:pStyle w:val="Titre1"/>
              <w:spacing w:before="0" w:after="120"/>
              <w:rPr>
                <w:rFonts w:asciiTheme="minorHAnsi" w:eastAsia="Calibri" w:hAnsiTheme="minorHAnsi" w:cstheme="minorHAnsi"/>
                <w:b w:val="0"/>
                <w:caps/>
                <w:sz w:val="24"/>
                <w:szCs w:val="24"/>
              </w:rPr>
            </w:pPr>
            <w:r w:rsidRPr="009E27AE">
              <w:rPr>
                <w:rFonts w:asciiTheme="minorHAnsi" w:hAnsiTheme="minorHAnsi" w:cstheme="minorHAnsi"/>
                <w:color w:val="E36C0A" w:themeColor="accent6" w:themeShade="BF"/>
                <w:sz w:val="24"/>
                <w:szCs w:val="24"/>
              </w:rPr>
              <w:t>Ressource 12 - L’étendue de l’effet obligatoire</w:t>
            </w:r>
          </w:p>
        </w:tc>
      </w:tr>
      <w:tr w:rsidR="009E4886" w:rsidRPr="009E27AE" w14:paraId="27DBD8CE" w14:textId="77777777" w:rsidTr="002A6C54">
        <w:tc>
          <w:tcPr>
            <w:tcW w:w="9888" w:type="dxa"/>
          </w:tcPr>
          <w:p w14:paraId="2674F20C" w14:textId="77777777" w:rsidR="00BA4FC9" w:rsidRPr="009E27AE" w:rsidRDefault="00BA4FC9" w:rsidP="00BA4FC9">
            <w:pPr>
              <w:tabs>
                <w:tab w:val="left" w:pos="6490"/>
              </w:tabs>
              <w:jc w:val="both"/>
              <w:rPr>
                <w:rFonts w:cstheme="minorHAnsi"/>
                <w:b/>
                <w:bCs/>
                <w:color w:val="E36C0A" w:themeColor="accent6" w:themeShade="BF"/>
              </w:rPr>
            </w:pPr>
            <w:r w:rsidRPr="009E27AE">
              <w:rPr>
                <w:rFonts w:cstheme="minorHAnsi"/>
                <w:b/>
                <w:bCs/>
                <w:color w:val="E36C0A" w:themeColor="accent6" w:themeShade="BF"/>
              </w:rPr>
              <w:t>Art. 1196.</w:t>
            </w:r>
            <w:r w:rsidRPr="009E27AE">
              <w:rPr>
                <w:rFonts w:cstheme="minorHAnsi"/>
                <w:bCs/>
                <w:color w:val="E36C0A" w:themeColor="accent6" w:themeShade="BF"/>
              </w:rPr>
              <w:t>- Dans les contrats ayant pour objet l’aliénation de la propriété ou la cession d’un autre droit, le transfert s’opère lors de la conclusion du contrat. […]</w:t>
            </w:r>
          </w:p>
          <w:p w14:paraId="6F76857B" w14:textId="77777777" w:rsidR="00BA4FC9" w:rsidRPr="009E27AE" w:rsidRDefault="00BA4FC9" w:rsidP="00BA4FC9">
            <w:pPr>
              <w:tabs>
                <w:tab w:val="left" w:pos="6490"/>
              </w:tabs>
              <w:jc w:val="both"/>
              <w:rPr>
                <w:rFonts w:cstheme="minorHAnsi"/>
                <w:bCs/>
                <w:color w:val="E36C0A" w:themeColor="accent6" w:themeShade="BF"/>
              </w:rPr>
            </w:pPr>
          </w:p>
          <w:p w14:paraId="30EBB8B2" w14:textId="77777777" w:rsidR="00BA4FC9" w:rsidRPr="009E27AE" w:rsidRDefault="00BA4FC9" w:rsidP="00BA4FC9">
            <w:pPr>
              <w:jc w:val="both"/>
              <w:rPr>
                <w:rFonts w:cstheme="minorHAnsi"/>
              </w:rPr>
            </w:pPr>
            <w:r w:rsidRPr="009E27AE">
              <w:rPr>
                <w:rFonts w:cstheme="minorHAnsi"/>
              </w:rPr>
              <w:t xml:space="preserve">Certains contrats prévoient comme effet le transfert de la propriété d’une chose. Dans ce cas, le transfert a lieu lors de la conclusion du contrat. Cependant, </w:t>
            </w:r>
            <w:r w:rsidRPr="0046659D">
              <w:rPr>
                <w:rFonts w:cstheme="minorHAnsi"/>
              </w:rPr>
              <w:t>le transfert de la propriété peut être différé soit par la volonté des parties, la nature des choses ou par l'effet de la loi.</w:t>
            </w:r>
          </w:p>
          <w:p w14:paraId="5E1945A0" w14:textId="77777777" w:rsidR="00BA4FC9" w:rsidRPr="0046659D" w:rsidRDefault="00BA4FC9" w:rsidP="00BA4FC9">
            <w:pPr>
              <w:jc w:val="both"/>
              <w:rPr>
                <w:rFonts w:cstheme="minorHAnsi"/>
              </w:rPr>
            </w:pPr>
            <w:r w:rsidRPr="009E27AE">
              <w:rPr>
                <w:rFonts w:cstheme="minorHAnsi"/>
              </w:rPr>
              <w:t xml:space="preserve">Une clause </w:t>
            </w:r>
            <w:r w:rsidRPr="0046659D">
              <w:rPr>
                <w:rFonts w:cstheme="minorHAnsi"/>
              </w:rPr>
              <w:t>de réserve de propriété, très fréquente dans les contrats de vente</w:t>
            </w:r>
            <w:r w:rsidRPr="009E27AE">
              <w:rPr>
                <w:rFonts w:cstheme="minorHAnsi"/>
              </w:rPr>
              <w:t>, permet au</w:t>
            </w:r>
            <w:r w:rsidRPr="0046659D">
              <w:rPr>
                <w:rFonts w:cstheme="minorHAnsi"/>
              </w:rPr>
              <w:t xml:space="preserve"> vendeur </w:t>
            </w:r>
            <w:r w:rsidRPr="009E27AE">
              <w:rPr>
                <w:rFonts w:cstheme="minorHAnsi"/>
              </w:rPr>
              <w:t xml:space="preserve">de se prémunir contre un </w:t>
            </w:r>
            <w:r w:rsidRPr="0046659D">
              <w:rPr>
                <w:rFonts w:cstheme="minorHAnsi"/>
              </w:rPr>
              <w:t>défaut de paiement</w:t>
            </w:r>
            <w:r w:rsidRPr="009E27AE">
              <w:rPr>
                <w:rFonts w:cstheme="minorHAnsi"/>
              </w:rPr>
              <w:t xml:space="preserve"> éventuel</w:t>
            </w:r>
            <w:r w:rsidRPr="0046659D">
              <w:rPr>
                <w:rFonts w:cstheme="minorHAnsi"/>
              </w:rPr>
              <w:t xml:space="preserve"> </w:t>
            </w:r>
            <w:r w:rsidRPr="009E27AE">
              <w:rPr>
                <w:rFonts w:cstheme="minorHAnsi"/>
              </w:rPr>
              <w:t xml:space="preserve">de </w:t>
            </w:r>
            <w:r w:rsidRPr="0046659D">
              <w:rPr>
                <w:rFonts w:cstheme="minorHAnsi"/>
              </w:rPr>
              <w:t xml:space="preserve">l'acheteur, </w:t>
            </w:r>
            <w:r w:rsidRPr="009E27AE">
              <w:rPr>
                <w:rFonts w:cstheme="minorHAnsi"/>
              </w:rPr>
              <w:t xml:space="preserve">en </w:t>
            </w:r>
            <w:r w:rsidRPr="0046659D">
              <w:rPr>
                <w:rFonts w:cstheme="minorHAnsi"/>
              </w:rPr>
              <w:t>restant propriétaire du bien</w:t>
            </w:r>
            <w:r w:rsidRPr="009E27AE">
              <w:rPr>
                <w:rFonts w:cstheme="minorHAnsi"/>
              </w:rPr>
              <w:t xml:space="preserve"> jusqu’au complet paiement du prix.</w:t>
            </w:r>
          </w:p>
          <w:p w14:paraId="0A90F77A" w14:textId="77777777" w:rsidR="009E4886" w:rsidRPr="009E27AE" w:rsidRDefault="00724582" w:rsidP="00724582">
            <w:pPr>
              <w:tabs>
                <w:tab w:val="left" w:pos="6490"/>
              </w:tabs>
              <w:jc w:val="both"/>
              <w:rPr>
                <w:rFonts w:cstheme="minorHAnsi"/>
              </w:rPr>
            </w:pPr>
            <w:r w:rsidRPr="009E27AE">
              <w:rPr>
                <w:rFonts w:cstheme="minorHAnsi"/>
              </w:rPr>
              <w:t>De même, lors d’une vente via Internet ou sur catalogue par exemple, si</w:t>
            </w:r>
            <w:r w:rsidR="00BA4FC9" w:rsidRPr="0046659D">
              <w:rPr>
                <w:rFonts w:cstheme="minorHAnsi"/>
              </w:rPr>
              <w:t xml:space="preserve"> le contr</w:t>
            </w:r>
            <w:r w:rsidRPr="009E27AE">
              <w:rPr>
                <w:rFonts w:cstheme="minorHAnsi"/>
              </w:rPr>
              <w:t xml:space="preserve">at porte sur une chose de genre, </w:t>
            </w:r>
            <w:r w:rsidR="00BA4FC9" w:rsidRPr="0046659D">
              <w:rPr>
                <w:rFonts w:cstheme="minorHAnsi"/>
              </w:rPr>
              <w:t xml:space="preserve">la propriété </w:t>
            </w:r>
            <w:r w:rsidRPr="009E27AE">
              <w:rPr>
                <w:rFonts w:cstheme="minorHAnsi"/>
              </w:rPr>
              <w:t xml:space="preserve">du bien acheté </w:t>
            </w:r>
            <w:r w:rsidR="00BA4FC9" w:rsidRPr="0046659D">
              <w:rPr>
                <w:rFonts w:cstheme="minorHAnsi"/>
              </w:rPr>
              <w:t>ne sera transférée qu'</w:t>
            </w:r>
            <w:r w:rsidRPr="009E27AE">
              <w:rPr>
                <w:rFonts w:cstheme="minorHAnsi"/>
              </w:rPr>
              <w:t xml:space="preserve">au moment </w:t>
            </w:r>
            <w:r w:rsidR="00BA4FC9" w:rsidRPr="0046659D">
              <w:rPr>
                <w:rFonts w:cstheme="minorHAnsi"/>
              </w:rPr>
              <w:t>de l'individualisation du bien.</w:t>
            </w:r>
          </w:p>
          <w:p w14:paraId="7672A975" w14:textId="77777777" w:rsidR="00724582" w:rsidRPr="009E27AE" w:rsidRDefault="00724582" w:rsidP="00724582">
            <w:pPr>
              <w:tabs>
                <w:tab w:val="left" w:pos="6490"/>
              </w:tabs>
              <w:jc w:val="both"/>
              <w:rPr>
                <w:rFonts w:cstheme="minorHAnsi"/>
              </w:rPr>
            </w:pPr>
            <w:r w:rsidRPr="009E27AE">
              <w:rPr>
                <w:rFonts w:cstheme="minorHAnsi"/>
              </w:rPr>
              <w:t>Enfin, pour d’autres contrats, c’est la loi qui déterminé le moment où s’opère le transfert de propriété de la chose.</w:t>
            </w:r>
          </w:p>
        </w:tc>
      </w:tr>
    </w:tbl>
    <w:p w14:paraId="6BDE15E9" w14:textId="77777777" w:rsidR="00274EBD" w:rsidRPr="009E27AE" w:rsidRDefault="00274EBD" w:rsidP="00BB6EA5">
      <w:pPr>
        <w:tabs>
          <w:tab w:val="left" w:pos="6490"/>
        </w:tabs>
        <w:spacing w:after="0" w:line="240" w:lineRule="auto"/>
        <w:jc w:val="both"/>
        <w:rPr>
          <w:rFonts w:cstheme="minorHAnsi"/>
        </w:rPr>
      </w:pPr>
    </w:p>
    <w:sectPr w:rsidR="00274EBD" w:rsidRPr="009E27AE" w:rsidSect="00D60B8C">
      <w:headerReference w:type="even" r:id="rId8"/>
      <w:headerReference w:type="default" r:id="rId9"/>
      <w:footerReference w:type="even" r:id="rId10"/>
      <w:footerReference w:type="default" r:id="rId11"/>
      <w:headerReference w:type="first" r:id="rId12"/>
      <w:footerReference w:type="first" r:id="rId13"/>
      <w:pgSz w:w="11906" w:h="16838"/>
      <w:pgMar w:top="851" w:right="1134" w:bottom="851" w:left="1134"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50EE" w14:textId="77777777" w:rsidR="00C26E2E" w:rsidRDefault="00C26E2E" w:rsidP="009C023D">
      <w:pPr>
        <w:spacing w:after="0" w:line="240" w:lineRule="auto"/>
      </w:pPr>
      <w:r>
        <w:separator/>
      </w:r>
    </w:p>
    <w:p w14:paraId="2A7690A2" w14:textId="77777777" w:rsidR="00C26E2E" w:rsidRDefault="00C26E2E"/>
  </w:endnote>
  <w:endnote w:type="continuationSeparator" w:id="0">
    <w:p w14:paraId="46D709FC" w14:textId="77777777" w:rsidR="00C26E2E" w:rsidRDefault="00C26E2E" w:rsidP="009C023D">
      <w:pPr>
        <w:spacing w:after="0" w:line="240" w:lineRule="auto"/>
      </w:pPr>
      <w:r>
        <w:continuationSeparator/>
      </w:r>
    </w:p>
    <w:p w14:paraId="42A6EB9A" w14:textId="77777777" w:rsidR="00C26E2E" w:rsidRDefault="00C26E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DC125" w14:textId="77777777" w:rsidR="00CA4538" w:rsidRDefault="00CA453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18D59" w14:textId="213C7D33" w:rsidR="00821838" w:rsidRDefault="00821838" w:rsidP="00D60B8C">
    <w:pPr>
      <w:pStyle w:val="Pieddepage"/>
      <w:pBdr>
        <w:top w:val="single" w:sz="4" w:space="1"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3F61" w14:textId="77777777" w:rsidR="00CA4538" w:rsidRDefault="00CA45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C892A" w14:textId="77777777" w:rsidR="00C26E2E" w:rsidRDefault="00C26E2E" w:rsidP="009C023D">
      <w:pPr>
        <w:spacing w:after="0" w:line="240" w:lineRule="auto"/>
      </w:pPr>
      <w:r>
        <w:separator/>
      </w:r>
    </w:p>
    <w:p w14:paraId="2BD6EFCB" w14:textId="77777777" w:rsidR="00C26E2E" w:rsidRDefault="00C26E2E"/>
  </w:footnote>
  <w:footnote w:type="continuationSeparator" w:id="0">
    <w:p w14:paraId="4EF53F31" w14:textId="77777777" w:rsidR="00C26E2E" w:rsidRDefault="00C26E2E" w:rsidP="009C023D">
      <w:pPr>
        <w:spacing w:after="0" w:line="240" w:lineRule="auto"/>
      </w:pPr>
      <w:r>
        <w:continuationSeparator/>
      </w:r>
    </w:p>
    <w:p w14:paraId="31862593" w14:textId="77777777" w:rsidR="00C26E2E" w:rsidRDefault="00C26E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33CA" w14:textId="77777777" w:rsidR="00CA4538" w:rsidRDefault="00CA453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ECC4" w14:textId="77777777" w:rsidR="00CA4538" w:rsidRDefault="00CA453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1679" w14:textId="77777777" w:rsidR="00CA4538" w:rsidRDefault="00CA453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4513"/>
    <w:multiLevelType w:val="hybridMultilevel"/>
    <w:tmpl w:val="4198D9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E25D5B"/>
    <w:multiLevelType w:val="hybridMultilevel"/>
    <w:tmpl w:val="55643764"/>
    <w:lvl w:ilvl="0" w:tplc="E7AAE9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BF4250"/>
    <w:multiLevelType w:val="hybridMultilevel"/>
    <w:tmpl w:val="4198D9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FFF6F4A"/>
    <w:multiLevelType w:val="hybridMultilevel"/>
    <w:tmpl w:val="4198D9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2EE6652"/>
    <w:multiLevelType w:val="multilevel"/>
    <w:tmpl w:val="651A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57824"/>
    <w:multiLevelType w:val="hybridMultilevel"/>
    <w:tmpl w:val="9F3A023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1E86CCE"/>
    <w:multiLevelType w:val="multilevel"/>
    <w:tmpl w:val="BC5207A0"/>
    <w:lvl w:ilvl="0">
      <w:start w:val="9"/>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52CFB"/>
    <w:multiLevelType w:val="hybridMultilevel"/>
    <w:tmpl w:val="4198D9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63D211F"/>
    <w:multiLevelType w:val="hybridMultilevel"/>
    <w:tmpl w:val="BCC44902"/>
    <w:lvl w:ilvl="0" w:tplc="9BC206D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9004FC"/>
    <w:multiLevelType w:val="multilevel"/>
    <w:tmpl w:val="CEBC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47971"/>
    <w:multiLevelType w:val="hybridMultilevel"/>
    <w:tmpl w:val="F15265A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BB5DB4"/>
    <w:multiLevelType w:val="hybridMultilevel"/>
    <w:tmpl w:val="642A2064"/>
    <w:lvl w:ilvl="0" w:tplc="784A18B0">
      <w:numFmt w:val="bullet"/>
      <w:lvlText w:val="-"/>
      <w:lvlJc w:val="left"/>
      <w:pPr>
        <w:ind w:left="360" w:hanging="360"/>
      </w:pPr>
      <w:rPr>
        <w:rFonts w:ascii="Calibri" w:eastAsia="Calibri" w:hAnsi="Calibri" w:cs="Times New Roman" w:hint="default"/>
        <w:b/>
        <w:i w:val="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4BD7064"/>
    <w:multiLevelType w:val="multilevel"/>
    <w:tmpl w:val="0660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F2591F"/>
    <w:multiLevelType w:val="multilevel"/>
    <w:tmpl w:val="65609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316713"/>
    <w:multiLevelType w:val="hybridMultilevel"/>
    <w:tmpl w:val="4198D9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62D1357"/>
    <w:multiLevelType w:val="multilevel"/>
    <w:tmpl w:val="6BE83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DB5A01"/>
    <w:multiLevelType w:val="hybridMultilevel"/>
    <w:tmpl w:val="5B46E3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CC04EA9"/>
    <w:multiLevelType w:val="multilevel"/>
    <w:tmpl w:val="EAF8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A867A7"/>
    <w:multiLevelType w:val="multilevel"/>
    <w:tmpl w:val="8C22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B25657"/>
    <w:multiLevelType w:val="multilevel"/>
    <w:tmpl w:val="44D8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C27097"/>
    <w:multiLevelType w:val="hybridMultilevel"/>
    <w:tmpl w:val="5B46E36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CE47A8C"/>
    <w:multiLevelType w:val="hybridMultilevel"/>
    <w:tmpl w:val="179E813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02136F3"/>
    <w:multiLevelType w:val="hybridMultilevel"/>
    <w:tmpl w:val="4198D9F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0B20F75"/>
    <w:multiLevelType w:val="multilevel"/>
    <w:tmpl w:val="38D8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F3081F"/>
    <w:multiLevelType w:val="hybridMultilevel"/>
    <w:tmpl w:val="6AA0D37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3843A32"/>
    <w:multiLevelType w:val="hybridMultilevel"/>
    <w:tmpl w:val="975ADB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D9617DD"/>
    <w:multiLevelType w:val="hybridMultilevel"/>
    <w:tmpl w:val="82684D9C"/>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2AF17D1"/>
    <w:multiLevelType w:val="hybridMultilevel"/>
    <w:tmpl w:val="E3CCA7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8F2413"/>
    <w:multiLevelType w:val="hybridMultilevel"/>
    <w:tmpl w:val="586A6F58"/>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D326361"/>
    <w:multiLevelType w:val="hybridMultilevel"/>
    <w:tmpl w:val="9A4CF82E"/>
    <w:lvl w:ilvl="0" w:tplc="9EFCA2A2">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E2E2990"/>
    <w:multiLevelType w:val="hybridMultilevel"/>
    <w:tmpl w:val="4774A458"/>
    <w:lvl w:ilvl="0" w:tplc="3A1E05F0">
      <w:start w:val="1"/>
      <w:numFmt w:val="upperRoman"/>
      <w:lvlText w:val="%1."/>
      <w:lvlJc w:val="left"/>
      <w:pPr>
        <w:ind w:left="720" w:hanging="72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75F804E1"/>
    <w:multiLevelType w:val="hybridMultilevel"/>
    <w:tmpl w:val="82684D9C"/>
    <w:lvl w:ilvl="0" w:tplc="040C0015">
      <w:start w:val="9"/>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976668C"/>
    <w:multiLevelType w:val="hybridMultilevel"/>
    <w:tmpl w:val="713A3EC0"/>
    <w:lvl w:ilvl="0" w:tplc="1D4E87F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FB55AC"/>
    <w:multiLevelType w:val="multilevel"/>
    <w:tmpl w:val="E4B4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417820">
    <w:abstractNumId w:val="8"/>
  </w:num>
  <w:num w:numId="2" w16cid:durableId="1116948937">
    <w:abstractNumId w:val="32"/>
  </w:num>
  <w:num w:numId="3" w16cid:durableId="1370717181">
    <w:abstractNumId w:val="0"/>
  </w:num>
  <w:num w:numId="4" w16cid:durableId="357513474">
    <w:abstractNumId w:val="20"/>
  </w:num>
  <w:num w:numId="5" w16cid:durableId="871000150">
    <w:abstractNumId w:val="16"/>
  </w:num>
  <w:num w:numId="6" w16cid:durableId="261184120">
    <w:abstractNumId w:val="11"/>
  </w:num>
  <w:num w:numId="7" w16cid:durableId="1765147450">
    <w:abstractNumId w:val="31"/>
  </w:num>
  <w:num w:numId="8" w16cid:durableId="2005817603">
    <w:abstractNumId w:val="30"/>
  </w:num>
  <w:num w:numId="9" w16cid:durableId="1860660042">
    <w:abstractNumId w:val="21"/>
  </w:num>
  <w:num w:numId="10" w16cid:durableId="1147942176">
    <w:abstractNumId w:val="26"/>
  </w:num>
  <w:num w:numId="11" w16cid:durableId="1992445125">
    <w:abstractNumId w:val="28"/>
  </w:num>
  <w:num w:numId="12" w16cid:durableId="543098422">
    <w:abstractNumId w:val="3"/>
  </w:num>
  <w:num w:numId="13" w16cid:durableId="747968121">
    <w:abstractNumId w:val="25"/>
  </w:num>
  <w:num w:numId="14" w16cid:durableId="1977954284">
    <w:abstractNumId w:val="27"/>
  </w:num>
  <w:num w:numId="15" w16cid:durableId="1091311754">
    <w:abstractNumId w:val="22"/>
  </w:num>
  <w:num w:numId="16" w16cid:durableId="869564042">
    <w:abstractNumId w:val="29"/>
  </w:num>
  <w:num w:numId="17" w16cid:durableId="709652209">
    <w:abstractNumId w:val="5"/>
  </w:num>
  <w:num w:numId="18" w16cid:durableId="1938053230">
    <w:abstractNumId w:val="1"/>
  </w:num>
  <w:num w:numId="19" w16cid:durableId="85078083">
    <w:abstractNumId w:val="10"/>
  </w:num>
  <w:num w:numId="20" w16cid:durableId="2096435758">
    <w:abstractNumId w:val="4"/>
  </w:num>
  <w:num w:numId="21" w16cid:durableId="1873492748">
    <w:abstractNumId w:val="33"/>
  </w:num>
  <w:num w:numId="22" w16cid:durableId="1866483440">
    <w:abstractNumId w:val="9"/>
  </w:num>
  <w:num w:numId="23" w16cid:durableId="1919248075">
    <w:abstractNumId w:val="15"/>
  </w:num>
  <w:num w:numId="24" w16cid:durableId="1239438811">
    <w:abstractNumId w:val="12"/>
  </w:num>
  <w:num w:numId="25" w16cid:durableId="621155002">
    <w:abstractNumId w:val="19"/>
  </w:num>
  <w:num w:numId="26" w16cid:durableId="1535121120">
    <w:abstractNumId w:val="17"/>
  </w:num>
  <w:num w:numId="27" w16cid:durableId="896861161">
    <w:abstractNumId w:val="23"/>
  </w:num>
  <w:num w:numId="28" w16cid:durableId="319848115">
    <w:abstractNumId w:val="13"/>
  </w:num>
  <w:num w:numId="29" w16cid:durableId="284847182">
    <w:abstractNumId w:val="18"/>
  </w:num>
  <w:num w:numId="30" w16cid:durableId="471868267">
    <w:abstractNumId w:val="6"/>
  </w:num>
  <w:num w:numId="31" w16cid:durableId="761875328">
    <w:abstractNumId w:val="24"/>
  </w:num>
  <w:num w:numId="32" w16cid:durableId="556091647">
    <w:abstractNumId w:val="7"/>
  </w:num>
  <w:num w:numId="33" w16cid:durableId="1476603722">
    <w:abstractNumId w:val="14"/>
  </w:num>
  <w:num w:numId="34" w16cid:durableId="21258031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DC"/>
    <w:rsid w:val="000126E9"/>
    <w:rsid w:val="000144DC"/>
    <w:rsid w:val="00017555"/>
    <w:rsid w:val="00021B89"/>
    <w:rsid w:val="00024BBD"/>
    <w:rsid w:val="000313EE"/>
    <w:rsid w:val="00035907"/>
    <w:rsid w:val="00046ECA"/>
    <w:rsid w:val="00064B14"/>
    <w:rsid w:val="00065E18"/>
    <w:rsid w:val="000674B0"/>
    <w:rsid w:val="00074DA6"/>
    <w:rsid w:val="00084BE8"/>
    <w:rsid w:val="00094DF0"/>
    <w:rsid w:val="000975BC"/>
    <w:rsid w:val="000A587A"/>
    <w:rsid w:val="000B3724"/>
    <w:rsid w:val="000B4522"/>
    <w:rsid w:val="000B7363"/>
    <w:rsid w:val="000C0E0B"/>
    <w:rsid w:val="000C1721"/>
    <w:rsid w:val="000C3153"/>
    <w:rsid w:val="000D2F4B"/>
    <w:rsid w:val="000D6606"/>
    <w:rsid w:val="000E1238"/>
    <w:rsid w:val="000E23FB"/>
    <w:rsid w:val="000E65D3"/>
    <w:rsid w:val="000F16A8"/>
    <w:rsid w:val="00113848"/>
    <w:rsid w:val="00113F7D"/>
    <w:rsid w:val="001167C1"/>
    <w:rsid w:val="00122826"/>
    <w:rsid w:val="0013288D"/>
    <w:rsid w:val="00134AEB"/>
    <w:rsid w:val="001400E6"/>
    <w:rsid w:val="00144968"/>
    <w:rsid w:val="00147411"/>
    <w:rsid w:val="00153D5A"/>
    <w:rsid w:val="0015407A"/>
    <w:rsid w:val="00155C7D"/>
    <w:rsid w:val="00160655"/>
    <w:rsid w:val="00162531"/>
    <w:rsid w:val="001676D7"/>
    <w:rsid w:val="00167990"/>
    <w:rsid w:val="00190403"/>
    <w:rsid w:val="00191D43"/>
    <w:rsid w:val="00194B62"/>
    <w:rsid w:val="001A0571"/>
    <w:rsid w:val="001A1F17"/>
    <w:rsid w:val="001A35A6"/>
    <w:rsid w:val="001A634E"/>
    <w:rsid w:val="001A7FAA"/>
    <w:rsid w:val="001B1A99"/>
    <w:rsid w:val="001B4ED1"/>
    <w:rsid w:val="001B58FB"/>
    <w:rsid w:val="00200194"/>
    <w:rsid w:val="00207AA5"/>
    <w:rsid w:val="00213DB0"/>
    <w:rsid w:val="002218EA"/>
    <w:rsid w:val="0022556C"/>
    <w:rsid w:val="002358C0"/>
    <w:rsid w:val="00240CE9"/>
    <w:rsid w:val="0024321C"/>
    <w:rsid w:val="002432EE"/>
    <w:rsid w:val="00253336"/>
    <w:rsid w:val="00271E56"/>
    <w:rsid w:val="00274EBD"/>
    <w:rsid w:val="00284A02"/>
    <w:rsid w:val="00284B6B"/>
    <w:rsid w:val="00286838"/>
    <w:rsid w:val="002B3D7F"/>
    <w:rsid w:val="002D6F40"/>
    <w:rsid w:val="002D7693"/>
    <w:rsid w:val="002E19A0"/>
    <w:rsid w:val="002E64D1"/>
    <w:rsid w:val="002E79AB"/>
    <w:rsid w:val="002F2F41"/>
    <w:rsid w:val="00306687"/>
    <w:rsid w:val="00310B34"/>
    <w:rsid w:val="00314B57"/>
    <w:rsid w:val="0031771C"/>
    <w:rsid w:val="0031775F"/>
    <w:rsid w:val="00322EC1"/>
    <w:rsid w:val="00323090"/>
    <w:rsid w:val="00332E75"/>
    <w:rsid w:val="00334EFE"/>
    <w:rsid w:val="00337253"/>
    <w:rsid w:val="00342E91"/>
    <w:rsid w:val="0034703E"/>
    <w:rsid w:val="003537CD"/>
    <w:rsid w:val="00360174"/>
    <w:rsid w:val="00367AA7"/>
    <w:rsid w:val="003724C5"/>
    <w:rsid w:val="003772FD"/>
    <w:rsid w:val="00382320"/>
    <w:rsid w:val="00387831"/>
    <w:rsid w:val="00393F00"/>
    <w:rsid w:val="00395827"/>
    <w:rsid w:val="003A2947"/>
    <w:rsid w:val="003B32ED"/>
    <w:rsid w:val="003B7526"/>
    <w:rsid w:val="003D76EE"/>
    <w:rsid w:val="00400810"/>
    <w:rsid w:val="00400934"/>
    <w:rsid w:val="00413365"/>
    <w:rsid w:val="00416175"/>
    <w:rsid w:val="004240D0"/>
    <w:rsid w:val="004262EA"/>
    <w:rsid w:val="00434611"/>
    <w:rsid w:val="004348C1"/>
    <w:rsid w:val="00435770"/>
    <w:rsid w:val="00440290"/>
    <w:rsid w:val="00440BAF"/>
    <w:rsid w:val="00440BD5"/>
    <w:rsid w:val="00445140"/>
    <w:rsid w:val="0044582C"/>
    <w:rsid w:val="0045030C"/>
    <w:rsid w:val="00451B3E"/>
    <w:rsid w:val="0046202C"/>
    <w:rsid w:val="0046659D"/>
    <w:rsid w:val="004808C4"/>
    <w:rsid w:val="00484205"/>
    <w:rsid w:val="00487520"/>
    <w:rsid w:val="004941E7"/>
    <w:rsid w:val="00494428"/>
    <w:rsid w:val="00496773"/>
    <w:rsid w:val="00496C38"/>
    <w:rsid w:val="004970B3"/>
    <w:rsid w:val="004A3361"/>
    <w:rsid w:val="004A7D62"/>
    <w:rsid w:val="004B5D4C"/>
    <w:rsid w:val="004C0507"/>
    <w:rsid w:val="004C239A"/>
    <w:rsid w:val="004C31F2"/>
    <w:rsid w:val="004C5AEE"/>
    <w:rsid w:val="004C70EA"/>
    <w:rsid w:val="004D1A31"/>
    <w:rsid w:val="004D35F7"/>
    <w:rsid w:val="004D6FD9"/>
    <w:rsid w:val="004E352D"/>
    <w:rsid w:val="004E7030"/>
    <w:rsid w:val="004F216F"/>
    <w:rsid w:val="004F678C"/>
    <w:rsid w:val="00501203"/>
    <w:rsid w:val="00513588"/>
    <w:rsid w:val="0052207E"/>
    <w:rsid w:val="00533E9C"/>
    <w:rsid w:val="00540933"/>
    <w:rsid w:val="00540D41"/>
    <w:rsid w:val="00545D65"/>
    <w:rsid w:val="00551595"/>
    <w:rsid w:val="005653EB"/>
    <w:rsid w:val="005673BC"/>
    <w:rsid w:val="00584A9C"/>
    <w:rsid w:val="005A01EE"/>
    <w:rsid w:val="005A6F72"/>
    <w:rsid w:val="005A7F61"/>
    <w:rsid w:val="005B1E6F"/>
    <w:rsid w:val="005C5373"/>
    <w:rsid w:val="005C67D4"/>
    <w:rsid w:val="005C6D83"/>
    <w:rsid w:val="005D1F44"/>
    <w:rsid w:val="005D4B89"/>
    <w:rsid w:val="005D4DC9"/>
    <w:rsid w:val="005D5A5E"/>
    <w:rsid w:val="005F6F80"/>
    <w:rsid w:val="005F7140"/>
    <w:rsid w:val="005F7753"/>
    <w:rsid w:val="00600F2F"/>
    <w:rsid w:val="00610D1A"/>
    <w:rsid w:val="00610F47"/>
    <w:rsid w:val="00622299"/>
    <w:rsid w:val="00623511"/>
    <w:rsid w:val="00624916"/>
    <w:rsid w:val="0062683E"/>
    <w:rsid w:val="0062767B"/>
    <w:rsid w:val="006355A3"/>
    <w:rsid w:val="00635AE3"/>
    <w:rsid w:val="00637155"/>
    <w:rsid w:val="00641A4E"/>
    <w:rsid w:val="006422AB"/>
    <w:rsid w:val="00643F46"/>
    <w:rsid w:val="006443AA"/>
    <w:rsid w:val="00645715"/>
    <w:rsid w:val="00647FD8"/>
    <w:rsid w:val="00651412"/>
    <w:rsid w:val="00653FBB"/>
    <w:rsid w:val="00660849"/>
    <w:rsid w:val="006744DA"/>
    <w:rsid w:val="00677C04"/>
    <w:rsid w:val="0068529A"/>
    <w:rsid w:val="0069669B"/>
    <w:rsid w:val="0069721B"/>
    <w:rsid w:val="006A1414"/>
    <w:rsid w:val="006A2F81"/>
    <w:rsid w:val="006D4346"/>
    <w:rsid w:val="006E1AD3"/>
    <w:rsid w:val="006F070B"/>
    <w:rsid w:val="006F1487"/>
    <w:rsid w:val="006F3143"/>
    <w:rsid w:val="006F398C"/>
    <w:rsid w:val="007000B3"/>
    <w:rsid w:val="00702841"/>
    <w:rsid w:val="007150CA"/>
    <w:rsid w:val="00724582"/>
    <w:rsid w:val="007316CC"/>
    <w:rsid w:val="00732C6F"/>
    <w:rsid w:val="00747837"/>
    <w:rsid w:val="00750A2A"/>
    <w:rsid w:val="00751C21"/>
    <w:rsid w:val="007555EB"/>
    <w:rsid w:val="00771242"/>
    <w:rsid w:val="007845EB"/>
    <w:rsid w:val="00787260"/>
    <w:rsid w:val="007965AD"/>
    <w:rsid w:val="0079794A"/>
    <w:rsid w:val="007A1F8D"/>
    <w:rsid w:val="007A353B"/>
    <w:rsid w:val="007A45DF"/>
    <w:rsid w:val="007A6F03"/>
    <w:rsid w:val="007C54F2"/>
    <w:rsid w:val="007D26B8"/>
    <w:rsid w:val="007E1C31"/>
    <w:rsid w:val="007E3901"/>
    <w:rsid w:val="007E4CFB"/>
    <w:rsid w:val="007F0982"/>
    <w:rsid w:val="007F4994"/>
    <w:rsid w:val="007F6507"/>
    <w:rsid w:val="00807EB0"/>
    <w:rsid w:val="00821838"/>
    <w:rsid w:val="00842372"/>
    <w:rsid w:val="008464AA"/>
    <w:rsid w:val="00847551"/>
    <w:rsid w:val="00857507"/>
    <w:rsid w:val="00857B6E"/>
    <w:rsid w:val="00863246"/>
    <w:rsid w:val="00870F93"/>
    <w:rsid w:val="00877281"/>
    <w:rsid w:val="008859F8"/>
    <w:rsid w:val="00892992"/>
    <w:rsid w:val="00896416"/>
    <w:rsid w:val="008A36A7"/>
    <w:rsid w:val="008A434A"/>
    <w:rsid w:val="008C52A9"/>
    <w:rsid w:val="008C5562"/>
    <w:rsid w:val="008E067A"/>
    <w:rsid w:val="008E4F35"/>
    <w:rsid w:val="008E60C7"/>
    <w:rsid w:val="008F4330"/>
    <w:rsid w:val="008F5678"/>
    <w:rsid w:val="008F5D1E"/>
    <w:rsid w:val="0090012E"/>
    <w:rsid w:val="00902376"/>
    <w:rsid w:val="00902A37"/>
    <w:rsid w:val="00906E0D"/>
    <w:rsid w:val="009075AA"/>
    <w:rsid w:val="009109CB"/>
    <w:rsid w:val="00914005"/>
    <w:rsid w:val="00930406"/>
    <w:rsid w:val="0093206F"/>
    <w:rsid w:val="009349C5"/>
    <w:rsid w:val="0095088F"/>
    <w:rsid w:val="00952728"/>
    <w:rsid w:val="00960B2A"/>
    <w:rsid w:val="00965862"/>
    <w:rsid w:val="00966D9F"/>
    <w:rsid w:val="009673C3"/>
    <w:rsid w:val="00974431"/>
    <w:rsid w:val="00977077"/>
    <w:rsid w:val="009820B1"/>
    <w:rsid w:val="00985BA3"/>
    <w:rsid w:val="00987207"/>
    <w:rsid w:val="009B1E55"/>
    <w:rsid w:val="009C023D"/>
    <w:rsid w:val="009D2590"/>
    <w:rsid w:val="009E07FA"/>
    <w:rsid w:val="009E27AE"/>
    <w:rsid w:val="009E390C"/>
    <w:rsid w:val="009E4886"/>
    <w:rsid w:val="009E5494"/>
    <w:rsid w:val="009E5693"/>
    <w:rsid w:val="009F058B"/>
    <w:rsid w:val="009F2043"/>
    <w:rsid w:val="009F4624"/>
    <w:rsid w:val="009F4B83"/>
    <w:rsid w:val="00A03069"/>
    <w:rsid w:val="00A03380"/>
    <w:rsid w:val="00A04A3C"/>
    <w:rsid w:val="00A14951"/>
    <w:rsid w:val="00A242F5"/>
    <w:rsid w:val="00A3212F"/>
    <w:rsid w:val="00A33ADC"/>
    <w:rsid w:val="00A35123"/>
    <w:rsid w:val="00A47F45"/>
    <w:rsid w:val="00A51811"/>
    <w:rsid w:val="00A56248"/>
    <w:rsid w:val="00A600F3"/>
    <w:rsid w:val="00A61922"/>
    <w:rsid w:val="00A6451D"/>
    <w:rsid w:val="00A654AE"/>
    <w:rsid w:val="00A67676"/>
    <w:rsid w:val="00A75DFA"/>
    <w:rsid w:val="00A76FAC"/>
    <w:rsid w:val="00A91714"/>
    <w:rsid w:val="00A93F84"/>
    <w:rsid w:val="00A962F9"/>
    <w:rsid w:val="00AA5BE9"/>
    <w:rsid w:val="00AA767B"/>
    <w:rsid w:val="00AC081D"/>
    <w:rsid w:val="00AC18F1"/>
    <w:rsid w:val="00AC5C1D"/>
    <w:rsid w:val="00AD07DF"/>
    <w:rsid w:val="00AD2619"/>
    <w:rsid w:val="00AD7C4C"/>
    <w:rsid w:val="00AF7EF1"/>
    <w:rsid w:val="00B14A1D"/>
    <w:rsid w:val="00B235AB"/>
    <w:rsid w:val="00B329B6"/>
    <w:rsid w:val="00B40B55"/>
    <w:rsid w:val="00B41A2D"/>
    <w:rsid w:val="00B506DA"/>
    <w:rsid w:val="00B51638"/>
    <w:rsid w:val="00B536AB"/>
    <w:rsid w:val="00B54355"/>
    <w:rsid w:val="00B66460"/>
    <w:rsid w:val="00B756DF"/>
    <w:rsid w:val="00B96B8F"/>
    <w:rsid w:val="00BA0FD2"/>
    <w:rsid w:val="00BA4FC9"/>
    <w:rsid w:val="00BB0E8E"/>
    <w:rsid w:val="00BB2560"/>
    <w:rsid w:val="00BB52FC"/>
    <w:rsid w:val="00BB5D40"/>
    <w:rsid w:val="00BB6EA5"/>
    <w:rsid w:val="00BB7F8A"/>
    <w:rsid w:val="00BC0364"/>
    <w:rsid w:val="00BC1955"/>
    <w:rsid w:val="00BC5FFE"/>
    <w:rsid w:val="00BD2BE4"/>
    <w:rsid w:val="00BD434E"/>
    <w:rsid w:val="00BD62D0"/>
    <w:rsid w:val="00BD6623"/>
    <w:rsid w:val="00BD7A2A"/>
    <w:rsid w:val="00BE582D"/>
    <w:rsid w:val="00BF2DFA"/>
    <w:rsid w:val="00BF5073"/>
    <w:rsid w:val="00C00ABC"/>
    <w:rsid w:val="00C1227A"/>
    <w:rsid w:val="00C130DE"/>
    <w:rsid w:val="00C1622D"/>
    <w:rsid w:val="00C175BE"/>
    <w:rsid w:val="00C26E2E"/>
    <w:rsid w:val="00C64038"/>
    <w:rsid w:val="00C83DF6"/>
    <w:rsid w:val="00CA280C"/>
    <w:rsid w:val="00CA2CAD"/>
    <w:rsid w:val="00CA4538"/>
    <w:rsid w:val="00CA4997"/>
    <w:rsid w:val="00CA6F08"/>
    <w:rsid w:val="00CC0F8E"/>
    <w:rsid w:val="00CC44CC"/>
    <w:rsid w:val="00CC5DBA"/>
    <w:rsid w:val="00CE118D"/>
    <w:rsid w:val="00CE6A1C"/>
    <w:rsid w:val="00CF324E"/>
    <w:rsid w:val="00D1026F"/>
    <w:rsid w:val="00D16385"/>
    <w:rsid w:val="00D34D43"/>
    <w:rsid w:val="00D36C84"/>
    <w:rsid w:val="00D40062"/>
    <w:rsid w:val="00D4407B"/>
    <w:rsid w:val="00D524AA"/>
    <w:rsid w:val="00D57335"/>
    <w:rsid w:val="00D60B8C"/>
    <w:rsid w:val="00D65B7C"/>
    <w:rsid w:val="00D66EE0"/>
    <w:rsid w:val="00D67551"/>
    <w:rsid w:val="00D751E4"/>
    <w:rsid w:val="00D751F4"/>
    <w:rsid w:val="00D7575E"/>
    <w:rsid w:val="00D76D89"/>
    <w:rsid w:val="00D850EC"/>
    <w:rsid w:val="00D9367C"/>
    <w:rsid w:val="00D96105"/>
    <w:rsid w:val="00D97A9A"/>
    <w:rsid w:val="00DA0161"/>
    <w:rsid w:val="00DA5A2E"/>
    <w:rsid w:val="00DB1BC4"/>
    <w:rsid w:val="00DC1CC1"/>
    <w:rsid w:val="00DC28B4"/>
    <w:rsid w:val="00DD13E0"/>
    <w:rsid w:val="00E04EA8"/>
    <w:rsid w:val="00E07DE3"/>
    <w:rsid w:val="00E14372"/>
    <w:rsid w:val="00E20494"/>
    <w:rsid w:val="00E2264A"/>
    <w:rsid w:val="00E23D20"/>
    <w:rsid w:val="00E320FF"/>
    <w:rsid w:val="00E34553"/>
    <w:rsid w:val="00E34A48"/>
    <w:rsid w:val="00E35186"/>
    <w:rsid w:val="00E35E3D"/>
    <w:rsid w:val="00E4127A"/>
    <w:rsid w:val="00E55B18"/>
    <w:rsid w:val="00E569F4"/>
    <w:rsid w:val="00E6381D"/>
    <w:rsid w:val="00E7301A"/>
    <w:rsid w:val="00E7546F"/>
    <w:rsid w:val="00E81C37"/>
    <w:rsid w:val="00EA4E75"/>
    <w:rsid w:val="00EA5AD7"/>
    <w:rsid w:val="00EB24AC"/>
    <w:rsid w:val="00EC277A"/>
    <w:rsid w:val="00ED7DE5"/>
    <w:rsid w:val="00EE5847"/>
    <w:rsid w:val="00EF28AE"/>
    <w:rsid w:val="00EF4BAB"/>
    <w:rsid w:val="00EF56C5"/>
    <w:rsid w:val="00F05375"/>
    <w:rsid w:val="00F164C5"/>
    <w:rsid w:val="00F165F6"/>
    <w:rsid w:val="00F2024A"/>
    <w:rsid w:val="00F214B1"/>
    <w:rsid w:val="00F4105F"/>
    <w:rsid w:val="00F61F6E"/>
    <w:rsid w:val="00F62600"/>
    <w:rsid w:val="00F66079"/>
    <w:rsid w:val="00F7268B"/>
    <w:rsid w:val="00F743B6"/>
    <w:rsid w:val="00F80722"/>
    <w:rsid w:val="00F821A5"/>
    <w:rsid w:val="00F83AAE"/>
    <w:rsid w:val="00F851C1"/>
    <w:rsid w:val="00F91B30"/>
    <w:rsid w:val="00FA1223"/>
    <w:rsid w:val="00FA2091"/>
    <w:rsid w:val="00FA2737"/>
    <w:rsid w:val="00FA3263"/>
    <w:rsid w:val="00FA58FE"/>
    <w:rsid w:val="00FB357D"/>
    <w:rsid w:val="00FB3FC0"/>
    <w:rsid w:val="00FB4095"/>
    <w:rsid w:val="00FB436E"/>
    <w:rsid w:val="00FB67B0"/>
    <w:rsid w:val="00FC0246"/>
    <w:rsid w:val="00FD06EC"/>
    <w:rsid w:val="00FE3162"/>
    <w:rsid w:val="00FE44E1"/>
    <w:rsid w:val="00FF1D29"/>
    <w:rsid w:val="00FF4D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8B2A3"/>
  <w15:docId w15:val="{FCC8C37B-1646-4B48-9A2D-577D3B95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B34"/>
  </w:style>
  <w:style w:type="paragraph" w:styleId="Titre1">
    <w:name w:val="heading 1"/>
    <w:basedOn w:val="Normal"/>
    <w:next w:val="Normal"/>
    <w:link w:val="Titre1Car"/>
    <w:uiPriority w:val="9"/>
    <w:qFormat/>
    <w:rsid w:val="009E39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7A353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7A353B"/>
    <w:pPr>
      <w:keepNext/>
      <w:keepLines/>
      <w:spacing w:before="200" w:after="0"/>
      <w:outlineLvl w:val="2"/>
    </w:pPr>
    <w:rPr>
      <w:rFonts w:asciiTheme="majorHAnsi" w:eastAsiaTheme="majorEastAsia" w:hAnsiTheme="majorHAnsi" w:cstheme="majorBidi"/>
      <w:b/>
      <w:bCs/>
      <w:color w:val="4F81BD" w:themeColor="accent1"/>
    </w:rPr>
  </w:style>
  <w:style w:type="paragraph" w:styleId="Titre5">
    <w:name w:val="heading 5"/>
    <w:basedOn w:val="Normal"/>
    <w:next w:val="Normal"/>
    <w:link w:val="Titre5Car"/>
    <w:uiPriority w:val="9"/>
    <w:semiHidden/>
    <w:unhideWhenUsed/>
    <w:qFormat/>
    <w:rsid w:val="005F714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A2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7507"/>
    <w:pPr>
      <w:ind w:left="720"/>
      <w:contextualSpacing/>
    </w:pPr>
  </w:style>
  <w:style w:type="character" w:styleId="Lienhypertexte">
    <w:name w:val="Hyperlink"/>
    <w:basedOn w:val="Policepardfaut"/>
    <w:uiPriority w:val="99"/>
    <w:unhideWhenUsed/>
    <w:rsid w:val="00651412"/>
    <w:rPr>
      <w:color w:val="0000FF" w:themeColor="hyperlink"/>
      <w:u w:val="single"/>
    </w:rPr>
  </w:style>
  <w:style w:type="paragraph" w:styleId="En-tte">
    <w:name w:val="header"/>
    <w:basedOn w:val="Normal"/>
    <w:link w:val="En-tteCar"/>
    <w:uiPriority w:val="99"/>
    <w:unhideWhenUsed/>
    <w:rsid w:val="009C023D"/>
    <w:pPr>
      <w:tabs>
        <w:tab w:val="center" w:pos="4536"/>
        <w:tab w:val="right" w:pos="9072"/>
      </w:tabs>
      <w:spacing w:after="0" w:line="240" w:lineRule="auto"/>
    </w:pPr>
  </w:style>
  <w:style w:type="character" w:customStyle="1" w:styleId="En-tteCar">
    <w:name w:val="En-tête Car"/>
    <w:basedOn w:val="Policepardfaut"/>
    <w:link w:val="En-tte"/>
    <w:uiPriority w:val="99"/>
    <w:rsid w:val="009C023D"/>
  </w:style>
  <w:style w:type="paragraph" w:styleId="Pieddepage">
    <w:name w:val="footer"/>
    <w:basedOn w:val="Normal"/>
    <w:link w:val="PieddepageCar"/>
    <w:uiPriority w:val="99"/>
    <w:unhideWhenUsed/>
    <w:rsid w:val="009C023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023D"/>
  </w:style>
  <w:style w:type="character" w:styleId="Lienhypertextesuivivisit">
    <w:name w:val="FollowedHyperlink"/>
    <w:basedOn w:val="Policepardfaut"/>
    <w:uiPriority w:val="99"/>
    <w:semiHidden/>
    <w:unhideWhenUsed/>
    <w:rsid w:val="008F5678"/>
    <w:rPr>
      <w:color w:val="800080" w:themeColor="followedHyperlink"/>
      <w:u w:val="single"/>
    </w:rPr>
  </w:style>
  <w:style w:type="paragraph" w:styleId="Corpsdetexte3">
    <w:name w:val="Body Text 3"/>
    <w:basedOn w:val="Normal"/>
    <w:link w:val="Corpsdetexte3Car"/>
    <w:rsid w:val="00CC0F8E"/>
    <w:pPr>
      <w:spacing w:after="0" w:line="240" w:lineRule="auto"/>
    </w:pPr>
    <w:rPr>
      <w:rFonts w:ascii="Times New Roman" w:eastAsia="Times New Roman" w:hAnsi="Times New Roman" w:cs="Times New Roman"/>
      <w:b/>
      <w:bCs/>
      <w:lang w:eastAsia="fr-FR"/>
    </w:rPr>
  </w:style>
  <w:style w:type="character" w:customStyle="1" w:styleId="Corpsdetexte3Car">
    <w:name w:val="Corps de texte 3 Car"/>
    <w:basedOn w:val="Policepardfaut"/>
    <w:link w:val="Corpsdetexte3"/>
    <w:rsid w:val="00CC0F8E"/>
    <w:rPr>
      <w:rFonts w:ascii="Times New Roman" w:eastAsia="Times New Roman" w:hAnsi="Times New Roman" w:cs="Times New Roman"/>
      <w:b/>
      <w:bCs/>
      <w:lang w:eastAsia="fr-FR"/>
    </w:rPr>
  </w:style>
  <w:style w:type="character" w:customStyle="1" w:styleId="fontstyle01">
    <w:name w:val="fontstyle01"/>
    <w:basedOn w:val="Policepardfaut"/>
    <w:rsid w:val="00A35123"/>
    <w:rPr>
      <w:rFonts w:ascii="TimesNewRomanPSMT" w:hAnsi="TimesNewRomanPSMT" w:hint="default"/>
      <w:b w:val="0"/>
      <w:bCs w:val="0"/>
      <w:i w:val="0"/>
      <w:iCs w:val="0"/>
      <w:color w:val="000000"/>
      <w:sz w:val="24"/>
      <w:szCs w:val="24"/>
    </w:rPr>
  </w:style>
  <w:style w:type="paragraph" w:customStyle="1" w:styleId="Style1">
    <w:name w:val="Style1"/>
    <w:basedOn w:val="Normal"/>
    <w:link w:val="Style1Car"/>
    <w:rsid w:val="000F16A8"/>
    <w:pPr>
      <w:spacing w:after="0"/>
    </w:pPr>
    <w:rPr>
      <w:rFonts w:cstheme="minorHAnsi"/>
      <w:b/>
      <w:sz w:val="24"/>
      <w:szCs w:val="24"/>
    </w:rPr>
  </w:style>
  <w:style w:type="character" w:customStyle="1" w:styleId="Titre1Car">
    <w:name w:val="Titre 1 Car"/>
    <w:basedOn w:val="Policepardfaut"/>
    <w:link w:val="Titre1"/>
    <w:uiPriority w:val="9"/>
    <w:rsid w:val="009E390C"/>
    <w:rPr>
      <w:rFonts w:asciiTheme="majorHAnsi" w:eastAsiaTheme="majorEastAsia" w:hAnsiTheme="majorHAnsi" w:cstheme="majorBidi"/>
      <w:b/>
      <w:bCs/>
      <w:color w:val="365F91" w:themeColor="accent1" w:themeShade="BF"/>
      <w:sz w:val="28"/>
      <w:szCs w:val="28"/>
    </w:rPr>
  </w:style>
  <w:style w:type="character" w:customStyle="1" w:styleId="Style1Car">
    <w:name w:val="Style1 Car"/>
    <w:basedOn w:val="Policepardfaut"/>
    <w:link w:val="Style1"/>
    <w:rsid w:val="000F16A8"/>
    <w:rPr>
      <w:rFonts w:cstheme="minorHAnsi"/>
      <w:b/>
      <w:sz w:val="24"/>
      <w:szCs w:val="24"/>
    </w:rPr>
  </w:style>
  <w:style w:type="paragraph" w:styleId="TM1">
    <w:name w:val="toc 1"/>
    <w:basedOn w:val="Normal"/>
    <w:next w:val="Normal"/>
    <w:autoRedefine/>
    <w:uiPriority w:val="39"/>
    <w:unhideWhenUsed/>
    <w:rsid w:val="008C5562"/>
    <w:pPr>
      <w:tabs>
        <w:tab w:val="right" w:leader="dot" w:pos="9072"/>
      </w:tabs>
      <w:spacing w:after="0"/>
      <w:ind w:left="709"/>
    </w:pPr>
  </w:style>
  <w:style w:type="paragraph" w:styleId="NormalWeb">
    <w:name w:val="Normal (Web)"/>
    <w:basedOn w:val="Normal"/>
    <w:uiPriority w:val="99"/>
    <w:semiHidden/>
    <w:unhideWhenUsed/>
    <w:rsid w:val="00C83D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83DF6"/>
    <w:rPr>
      <w:b/>
      <w:bCs/>
    </w:rPr>
  </w:style>
  <w:style w:type="character" w:customStyle="1" w:styleId="citation">
    <w:name w:val="citation"/>
    <w:basedOn w:val="Policepardfaut"/>
    <w:rsid w:val="00D850EC"/>
  </w:style>
  <w:style w:type="character" w:customStyle="1" w:styleId="Titre5Car">
    <w:name w:val="Titre 5 Car"/>
    <w:basedOn w:val="Policepardfaut"/>
    <w:link w:val="Titre5"/>
    <w:uiPriority w:val="9"/>
    <w:semiHidden/>
    <w:rsid w:val="005F7140"/>
    <w:rPr>
      <w:rFonts w:asciiTheme="majorHAnsi" w:eastAsiaTheme="majorEastAsia" w:hAnsiTheme="majorHAnsi" w:cstheme="majorBidi"/>
      <w:color w:val="243F60" w:themeColor="accent1" w:themeShade="7F"/>
    </w:rPr>
  </w:style>
  <w:style w:type="character" w:customStyle="1" w:styleId="important">
    <w:name w:val="important"/>
    <w:basedOn w:val="Policepardfaut"/>
    <w:rsid w:val="009F4624"/>
  </w:style>
  <w:style w:type="character" w:customStyle="1" w:styleId="Titre2Car">
    <w:name w:val="Titre 2 Car"/>
    <w:basedOn w:val="Policepardfaut"/>
    <w:link w:val="Titre2"/>
    <w:uiPriority w:val="9"/>
    <w:semiHidden/>
    <w:rsid w:val="007A353B"/>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7A353B"/>
    <w:rPr>
      <w:rFonts w:asciiTheme="majorHAnsi" w:eastAsiaTheme="majorEastAsia" w:hAnsiTheme="majorHAnsi" w:cstheme="majorBidi"/>
      <w:b/>
      <w:bCs/>
      <w:color w:val="4F81BD" w:themeColor="accent1"/>
    </w:rPr>
  </w:style>
  <w:style w:type="character" w:customStyle="1" w:styleId="surlignage">
    <w:name w:val="surlignage"/>
    <w:basedOn w:val="Policepardfaut"/>
    <w:rsid w:val="00641A4E"/>
  </w:style>
  <w:style w:type="paragraph" w:styleId="Sansinterligne">
    <w:name w:val="No Spacing"/>
    <w:uiPriority w:val="1"/>
    <w:qFormat/>
    <w:rsid w:val="00065E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50467">
      <w:bodyDiv w:val="1"/>
      <w:marLeft w:val="0"/>
      <w:marRight w:val="0"/>
      <w:marTop w:val="0"/>
      <w:marBottom w:val="0"/>
      <w:divBdr>
        <w:top w:val="none" w:sz="0" w:space="0" w:color="auto"/>
        <w:left w:val="none" w:sz="0" w:space="0" w:color="auto"/>
        <w:bottom w:val="none" w:sz="0" w:space="0" w:color="auto"/>
        <w:right w:val="none" w:sz="0" w:space="0" w:color="auto"/>
      </w:divBdr>
    </w:div>
    <w:div w:id="369572271">
      <w:bodyDiv w:val="1"/>
      <w:marLeft w:val="0"/>
      <w:marRight w:val="0"/>
      <w:marTop w:val="0"/>
      <w:marBottom w:val="0"/>
      <w:divBdr>
        <w:top w:val="none" w:sz="0" w:space="0" w:color="auto"/>
        <w:left w:val="none" w:sz="0" w:space="0" w:color="auto"/>
        <w:bottom w:val="none" w:sz="0" w:space="0" w:color="auto"/>
        <w:right w:val="none" w:sz="0" w:space="0" w:color="auto"/>
      </w:divBdr>
      <w:divsChild>
        <w:div w:id="657076395">
          <w:marLeft w:val="0"/>
          <w:marRight w:val="0"/>
          <w:marTop w:val="0"/>
          <w:marBottom w:val="0"/>
          <w:divBdr>
            <w:top w:val="none" w:sz="0" w:space="0" w:color="auto"/>
            <w:left w:val="none" w:sz="0" w:space="0" w:color="auto"/>
            <w:bottom w:val="none" w:sz="0" w:space="0" w:color="auto"/>
            <w:right w:val="none" w:sz="0" w:space="0" w:color="auto"/>
          </w:divBdr>
        </w:div>
      </w:divsChild>
    </w:div>
    <w:div w:id="425538188">
      <w:bodyDiv w:val="1"/>
      <w:marLeft w:val="0"/>
      <w:marRight w:val="0"/>
      <w:marTop w:val="0"/>
      <w:marBottom w:val="0"/>
      <w:divBdr>
        <w:top w:val="none" w:sz="0" w:space="0" w:color="auto"/>
        <w:left w:val="none" w:sz="0" w:space="0" w:color="auto"/>
        <w:bottom w:val="none" w:sz="0" w:space="0" w:color="auto"/>
        <w:right w:val="none" w:sz="0" w:space="0" w:color="auto"/>
      </w:divBdr>
    </w:div>
    <w:div w:id="457918142">
      <w:bodyDiv w:val="1"/>
      <w:marLeft w:val="0"/>
      <w:marRight w:val="0"/>
      <w:marTop w:val="0"/>
      <w:marBottom w:val="0"/>
      <w:divBdr>
        <w:top w:val="none" w:sz="0" w:space="0" w:color="auto"/>
        <w:left w:val="none" w:sz="0" w:space="0" w:color="auto"/>
        <w:bottom w:val="none" w:sz="0" w:space="0" w:color="auto"/>
        <w:right w:val="none" w:sz="0" w:space="0" w:color="auto"/>
      </w:divBdr>
    </w:div>
    <w:div w:id="516693760">
      <w:bodyDiv w:val="1"/>
      <w:marLeft w:val="0"/>
      <w:marRight w:val="0"/>
      <w:marTop w:val="0"/>
      <w:marBottom w:val="0"/>
      <w:divBdr>
        <w:top w:val="none" w:sz="0" w:space="0" w:color="auto"/>
        <w:left w:val="none" w:sz="0" w:space="0" w:color="auto"/>
        <w:bottom w:val="none" w:sz="0" w:space="0" w:color="auto"/>
        <w:right w:val="none" w:sz="0" w:space="0" w:color="auto"/>
      </w:divBdr>
    </w:div>
    <w:div w:id="538475617">
      <w:bodyDiv w:val="1"/>
      <w:marLeft w:val="0"/>
      <w:marRight w:val="0"/>
      <w:marTop w:val="0"/>
      <w:marBottom w:val="0"/>
      <w:divBdr>
        <w:top w:val="none" w:sz="0" w:space="0" w:color="auto"/>
        <w:left w:val="none" w:sz="0" w:space="0" w:color="auto"/>
        <w:bottom w:val="none" w:sz="0" w:space="0" w:color="auto"/>
        <w:right w:val="none" w:sz="0" w:space="0" w:color="auto"/>
      </w:divBdr>
    </w:div>
    <w:div w:id="548107722">
      <w:bodyDiv w:val="1"/>
      <w:marLeft w:val="0"/>
      <w:marRight w:val="0"/>
      <w:marTop w:val="0"/>
      <w:marBottom w:val="0"/>
      <w:divBdr>
        <w:top w:val="none" w:sz="0" w:space="0" w:color="auto"/>
        <w:left w:val="none" w:sz="0" w:space="0" w:color="auto"/>
        <w:bottom w:val="none" w:sz="0" w:space="0" w:color="auto"/>
        <w:right w:val="none" w:sz="0" w:space="0" w:color="auto"/>
      </w:divBdr>
    </w:div>
    <w:div w:id="650644819">
      <w:bodyDiv w:val="1"/>
      <w:marLeft w:val="0"/>
      <w:marRight w:val="0"/>
      <w:marTop w:val="0"/>
      <w:marBottom w:val="0"/>
      <w:divBdr>
        <w:top w:val="none" w:sz="0" w:space="0" w:color="auto"/>
        <w:left w:val="none" w:sz="0" w:space="0" w:color="auto"/>
        <w:bottom w:val="none" w:sz="0" w:space="0" w:color="auto"/>
        <w:right w:val="none" w:sz="0" w:space="0" w:color="auto"/>
      </w:divBdr>
    </w:div>
    <w:div w:id="794980121">
      <w:bodyDiv w:val="1"/>
      <w:marLeft w:val="0"/>
      <w:marRight w:val="0"/>
      <w:marTop w:val="0"/>
      <w:marBottom w:val="0"/>
      <w:divBdr>
        <w:top w:val="none" w:sz="0" w:space="0" w:color="auto"/>
        <w:left w:val="none" w:sz="0" w:space="0" w:color="auto"/>
        <w:bottom w:val="none" w:sz="0" w:space="0" w:color="auto"/>
        <w:right w:val="none" w:sz="0" w:space="0" w:color="auto"/>
      </w:divBdr>
    </w:div>
    <w:div w:id="817846477">
      <w:bodyDiv w:val="1"/>
      <w:marLeft w:val="0"/>
      <w:marRight w:val="0"/>
      <w:marTop w:val="0"/>
      <w:marBottom w:val="0"/>
      <w:divBdr>
        <w:top w:val="none" w:sz="0" w:space="0" w:color="auto"/>
        <w:left w:val="none" w:sz="0" w:space="0" w:color="auto"/>
        <w:bottom w:val="none" w:sz="0" w:space="0" w:color="auto"/>
        <w:right w:val="none" w:sz="0" w:space="0" w:color="auto"/>
      </w:divBdr>
    </w:div>
    <w:div w:id="858078946">
      <w:bodyDiv w:val="1"/>
      <w:marLeft w:val="0"/>
      <w:marRight w:val="0"/>
      <w:marTop w:val="0"/>
      <w:marBottom w:val="0"/>
      <w:divBdr>
        <w:top w:val="none" w:sz="0" w:space="0" w:color="auto"/>
        <w:left w:val="none" w:sz="0" w:space="0" w:color="auto"/>
        <w:bottom w:val="none" w:sz="0" w:space="0" w:color="auto"/>
        <w:right w:val="none" w:sz="0" w:space="0" w:color="auto"/>
      </w:divBdr>
    </w:div>
    <w:div w:id="930701333">
      <w:bodyDiv w:val="1"/>
      <w:marLeft w:val="0"/>
      <w:marRight w:val="0"/>
      <w:marTop w:val="0"/>
      <w:marBottom w:val="0"/>
      <w:divBdr>
        <w:top w:val="none" w:sz="0" w:space="0" w:color="auto"/>
        <w:left w:val="none" w:sz="0" w:space="0" w:color="auto"/>
        <w:bottom w:val="none" w:sz="0" w:space="0" w:color="auto"/>
        <w:right w:val="none" w:sz="0" w:space="0" w:color="auto"/>
      </w:divBdr>
    </w:div>
    <w:div w:id="945770331">
      <w:bodyDiv w:val="1"/>
      <w:marLeft w:val="0"/>
      <w:marRight w:val="0"/>
      <w:marTop w:val="0"/>
      <w:marBottom w:val="0"/>
      <w:divBdr>
        <w:top w:val="none" w:sz="0" w:space="0" w:color="auto"/>
        <w:left w:val="none" w:sz="0" w:space="0" w:color="auto"/>
        <w:bottom w:val="none" w:sz="0" w:space="0" w:color="auto"/>
        <w:right w:val="none" w:sz="0" w:space="0" w:color="auto"/>
      </w:divBdr>
    </w:div>
    <w:div w:id="977799406">
      <w:bodyDiv w:val="1"/>
      <w:marLeft w:val="0"/>
      <w:marRight w:val="0"/>
      <w:marTop w:val="0"/>
      <w:marBottom w:val="0"/>
      <w:divBdr>
        <w:top w:val="none" w:sz="0" w:space="0" w:color="auto"/>
        <w:left w:val="none" w:sz="0" w:space="0" w:color="auto"/>
        <w:bottom w:val="none" w:sz="0" w:space="0" w:color="auto"/>
        <w:right w:val="none" w:sz="0" w:space="0" w:color="auto"/>
      </w:divBdr>
    </w:div>
    <w:div w:id="987628704">
      <w:bodyDiv w:val="1"/>
      <w:marLeft w:val="0"/>
      <w:marRight w:val="0"/>
      <w:marTop w:val="0"/>
      <w:marBottom w:val="0"/>
      <w:divBdr>
        <w:top w:val="none" w:sz="0" w:space="0" w:color="auto"/>
        <w:left w:val="none" w:sz="0" w:space="0" w:color="auto"/>
        <w:bottom w:val="none" w:sz="0" w:space="0" w:color="auto"/>
        <w:right w:val="none" w:sz="0" w:space="0" w:color="auto"/>
      </w:divBdr>
    </w:div>
    <w:div w:id="1075006850">
      <w:bodyDiv w:val="1"/>
      <w:marLeft w:val="0"/>
      <w:marRight w:val="0"/>
      <w:marTop w:val="0"/>
      <w:marBottom w:val="0"/>
      <w:divBdr>
        <w:top w:val="none" w:sz="0" w:space="0" w:color="auto"/>
        <w:left w:val="none" w:sz="0" w:space="0" w:color="auto"/>
        <w:bottom w:val="none" w:sz="0" w:space="0" w:color="auto"/>
        <w:right w:val="none" w:sz="0" w:space="0" w:color="auto"/>
      </w:divBdr>
    </w:div>
    <w:div w:id="1118454936">
      <w:bodyDiv w:val="1"/>
      <w:marLeft w:val="0"/>
      <w:marRight w:val="0"/>
      <w:marTop w:val="0"/>
      <w:marBottom w:val="0"/>
      <w:divBdr>
        <w:top w:val="none" w:sz="0" w:space="0" w:color="auto"/>
        <w:left w:val="none" w:sz="0" w:space="0" w:color="auto"/>
        <w:bottom w:val="none" w:sz="0" w:space="0" w:color="auto"/>
        <w:right w:val="none" w:sz="0" w:space="0" w:color="auto"/>
      </w:divBdr>
    </w:div>
    <w:div w:id="1134910887">
      <w:bodyDiv w:val="1"/>
      <w:marLeft w:val="0"/>
      <w:marRight w:val="0"/>
      <w:marTop w:val="0"/>
      <w:marBottom w:val="0"/>
      <w:divBdr>
        <w:top w:val="none" w:sz="0" w:space="0" w:color="auto"/>
        <w:left w:val="none" w:sz="0" w:space="0" w:color="auto"/>
        <w:bottom w:val="none" w:sz="0" w:space="0" w:color="auto"/>
        <w:right w:val="none" w:sz="0" w:space="0" w:color="auto"/>
      </w:divBdr>
    </w:div>
    <w:div w:id="1232614824">
      <w:bodyDiv w:val="1"/>
      <w:marLeft w:val="0"/>
      <w:marRight w:val="0"/>
      <w:marTop w:val="0"/>
      <w:marBottom w:val="0"/>
      <w:divBdr>
        <w:top w:val="none" w:sz="0" w:space="0" w:color="auto"/>
        <w:left w:val="none" w:sz="0" w:space="0" w:color="auto"/>
        <w:bottom w:val="none" w:sz="0" w:space="0" w:color="auto"/>
        <w:right w:val="none" w:sz="0" w:space="0" w:color="auto"/>
      </w:divBdr>
    </w:div>
    <w:div w:id="1469398875">
      <w:bodyDiv w:val="1"/>
      <w:marLeft w:val="0"/>
      <w:marRight w:val="0"/>
      <w:marTop w:val="0"/>
      <w:marBottom w:val="0"/>
      <w:divBdr>
        <w:top w:val="none" w:sz="0" w:space="0" w:color="auto"/>
        <w:left w:val="none" w:sz="0" w:space="0" w:color="auto"/>
        <w:bottom w:val="none" w:sz="0" w:space="0" w:color="auto"/>
        <w:right w:val="none" w:sz="0" w:space="0" w:color="auto"/>
      </w:divBdr>
    </w:div>
    <w:div w:id="1476679300">
      <w:bodyDiv w:val="1"/>
      <w:marLeft w:val="0"/>
      <w:marRight w:val="0"/>
      <w:marTop w:val="0"/>
      <w:marBottom w:val="0"/>
      <w:divBdr>
        <w:top w:val="none" w:sz="0" w:space="0" w:color="auto"/>
        <w:left w:val="none" w:sz="0" w:space="0" w:color="auto"/>
        <w:bottom w:val="none" w:sz="0" w:space="0" w:color="auto"/>
        <w:right w:val="none" w:sz="0" w:space="0" w:color="auto"/>
      </w:divBdr>
    </w:div>
    <w:div w:id="1519656714">
      <w:bodyDiv w:val="1"/>
      <w:marLeft w:val="0"/>
      <w:marRight w:val="0"/>
      <w:marTop w:val="0"/>
      <w:marBottom w:val="0"/>
      <w:divBdr>
        <w:top w:val="none" w:sz="0" w:space="0" w:color="auto"/>
        <w:left w:val="none" w:sz="0" w:space="0" w:color="auto"/>
        <w:bottom w:val="none" w:sz="0" w:space="0" w:color="auto"/>
        <w:right w:val="none" w:sz="0" w:space="0" w:color="auto"/>
      </w:divBdr>
    </w:div>
    <w:div w:id="1618756005">
      <w:bodyDiv w:val="1"/>
      <w:marLeft w:val="0"/>
      <w:marRight w:val="0"/>
      <w:marTop w:val="0"/>
      <w:marBottom w:val="0"/>
      <w:divBdr>
        <w:top w:val="none" w:sz="0" w:space="0" w:color="auto"/>
        <w:left w:val="none" w:sz="0" w:space="0" w:color="auto"/>
        <w:bottom w:val="none" w:sz="0" w:space="0" w:color="auto"/>
        <w:right w:val="none" w:sz="0" w:space="0" w:color="auto"/>
      </w:divBdr>
    </w:div>
    <w:div w:id="1707900745">
      <w:bodyDiv w:val="1"/>
      <w:marLeft w:val="0"/>
      <w:marRight w:val="0"/>
      <w:marTop w:val="0"/>
      <w:marBottom w:val="0"/>
      <w:divBdr>
        <w:top w:val="none" w:sz="0" w:space="0" w:color="auto"/>
        <w:left w:val="none" w:sz="0" w:space="0" w:color="auto"/>
        <w:bottom w:val="none" w:sz="0" w:space="0" w:color="auto"/>
        <w:right w:val="none" w:sz="0" w:space="0" w:color="auto"/>
      </w:divBdr>
      <w:divsChild>
        <w:div w:id="303774095">
          <w:marLeft w:val="0"/>
          <w:marRight w:val="0"/>
          <w:marTop w:val="0"/>
          <w:marBottom w:val="0"/>
          <w:divBdr>
            <w:top w:val="none" w:sz="0" w:space="0" w:color="auto"/>
            <w:left w:val="none" w:sz="0" w:space="0" w:color="auto"/>
            <w:bottom w:val="none" w:sz="0" w:space="0" w:color="auto"/>
            <w:right w:val="none" w:sz="0" w:space="0" w:color="auto"/>
          </w:divBdr>
        </w:div>
        <w:div w:id="323095552">
          <w:marLeft w:val="0"/>
          <w:marRight w:val="0"/>
          <w:marTop w:val="0"/>
          <w:marBottom w:val="0"/>
          <w:divBdr>
            <w:top w:val="none" w:sz="0" w:space="0" w:color="auto"/>
            <w:left w:val="none" w:sz="0" w:space="0" w:color="auto"/>
            <w:bottom w:val="none" w:sz="0" w:space="0" w:color="auto"/>
            <w:right w:val="none" w:sz="0" w:space="0" w:color="auto"/>
          </w:divBdr>
          <w:divsChild>
            <w:div w:id="9675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0240">
      <w:bodyDiv w:val="1"/>
      <w:marLeft w:val="0"/>
      <w:marRight w:val="0"/>
      <w:marTop w:val="0"/>
      <w:marBottom w:val="0"/>
      <w:divBdr>
        <w:top w:val="none" w:sz="0" w:space="0" w:color="auto"/>
        <w:left w:val="none" w:sz="0" w:space="0" w:color="auto"/>
        <w:bottom w:val="none" w:sz="0" w:space="0" w:color="auto"/>
        <w:right w:val="none" w:sz="0" w:space="0" w:color="auto"/>
      </w:divBdr>
    </w:div>
    <w:div w:id="1757703536">
      <w:bodyDiv w:val="1"/>
      <w:marLeft w:val="0"/>
      <w:marRight w:val="0"/>
      <w:marTop w:val="0"/>
      <w:marBottom w:val="0"/>
      <w:divBdr>
        <w:top w:val="none" w:sz="0" w:space="0" w:color="auto"/>
        <w:left w:val="none" w:sz="0" w:space="0" w:color="auto"/>
        <w:bottom w:val="none" w:sz="0" w:space="0" w:color="auto"/>
        <w:right w:val="none" w:sz="0" w:space="0" w:color="auto"/>
      </w:divBdr>
    </w:div>
    <w:div w:id="1790779059">
      <w:bodyDiv w:val="1"/>
      <w:marLeft w:val="0"/>
      <w:marRight w:val="0"/>
      <w:marTop w:val="0"/>
      <w:marBottom w:val="0"/>
      <w:divBdr>
        <w:top w:val="none" w:sz="0" w:space="0" w:color="auto"/>
        <w:left w:val="none" w:sz="0" w:space="0" w:color="auto"/>
        <w:bottom w:val="none" w:sz="0" w:space="0" w:color="auto"/>
        <w:right w:val="none" w:sz="0" w:space="0" w:color="auto"/>
      </w:divBdr>
    </w:div>
    <w:div w:id="1818297784">
      <w:bodyDiv w:val="1"/>
      <w:marLeft w:val="0"/>
      <w:marRight w:val="0"/>
      <w:marTop w:val="0"/>
      <w:marBottom w:val="0"/>
      <w:divBdr>
        <w:top w:val="none" w:sz="0" w:space="0" w:color="auto"/>
        <w:left w:val="none" w:sz="0" w:space="0" w:color="auto"/>
        <w:bottom w:val="none" w:sz="0" w:space="0" w:color="auto"/>
        <w:right w:val="none" w:sz="0" w:space="0" w:color="auto"/>
      </w:divBdr>
    </w:div>
    <w:div w:id="1938557967">
      <w:bodyDiv w:val="1"/>
      <w:marLeft w:val="0"/>
      <w:marRight w:val="0"/>
      <w:marTop w:val="0"/>
      <w:marBottom w:val="0"/>
      <w:divBdr>
        <w:top w:val="none" w:sz="0" w:space="0" w:color="auto"/>
        <w:left w:val="none" w:sz="0" w:space="0" w:color="auto"/>
        <w:bottom w:val="none" w:sz="0" w:space="0" w:color="auto"/>
        <w:right w:val="none" w:sz="0" w:space="0" w:color="auto"/>
      </w:divBdr>
    </w:div>
    <w:div w:id="194530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46A95-D2FD-4F42-81F9-30F3FA4E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2400</Words>
  <Characters>13204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jo</cp:lastModifiedBy>
  <cp:revision>2</cp:revision>
  <cp:lastPrinted>2018-03-20T13:31:00Z</cp:lastPrinted>
  <dcterms:created xsi:type="dcterms:W3CDTF">2025-09-25T19:17:00Z</dcterms:created>
  <dcterms:modified xsi:type="dcterms:W3CDTF">2025-09-25T19:17:00Z</dcterms:modified>
</cp:coreProperties>
</file>