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Calibri" w:hAnsi="Calibri" w:eastAsia="Calibri"/>
          <w:b/>
          <w:i w:val="0"/>
          <w:color w:val="000000"/>
          <w:sz w:val="21"/>
        </w:rPr>
        <w:t>GESTION APPLIQUÉE - MENTION MATÉRIAUX - CÉRAMIQUE</w:t>
      </w:r>
    </w:p>
    <w:p>
      <w:pPr>
        <w:spacing w:after="100"/>
        <w:ind w:left="115"/>
        <w:shd w:val="clear" w:color="auto" w:fill="F6EEE9"/>
        <w:pBdr>
          <w:left w:val="single" w:sz="20" w:space="5" w:color="9A6347"/>
        </w:pBdr>
      </w:pPr>
      <w:r>
        <w:rPr>
          <w:rFonts w:ascii="Calibri" w:hAnsi="Calibri" w:eastAsia="Calibri"/>
          <w:b/>
          <w:i w:val="0"/>
          <w:color w:val="000000"/>
          <w:sz w:val="27"/>
        </w:rPr>
        <w:t>COURS 2</w:t>
      </w:r>
    </w:p>
    <w:p>
      <w:pPr>
        <w:spacing w:before="140" w:after="200"/>
        <w:pBdr>
          <w:bottom w:val="single" w:sz="16" w:space="7" w:color="9A6347"/>
        </w:pBdr>
      </w:pPr>
      <w:r>
        <w:rPr>
          <w:rFonts w:ascii="Calibri" w:hAnsi="Calibri" w:eastAsia="Calibri"/>
          <w:b/>
          <w:i w:val="0"/>
          <w:color w:val="000000"/>
          <w:sz w:val="42"/>
        </w:rPr>
        <w:t>Calculer le coût de revient et déterminer le prix minimal à facturer</w:t>
      </w:r>
    </w:p>
    <w:p>
      <w:pPr>
        <w:spacing w:before="100" w:after="120"/>
        <w:ind w:left="115" w:right="29"/>
        <w:shd w:val="clear" w:color="auto" w:fill="F6EEE9"/>
        <w:pBdr>
          <w:left w:val="single" w:sz="16" w:space="6" w:color="9A6347"/>
        </w:pBdr>
      </w:pPr>
      <w:r>
        <w:rPr>
          <w:rFonts w:ascii="Calibri" w:hAnsi="Calibri" w:eastAsia="Calibri"/>
          <w:b/>
          <w:i w:val="0"/>
          <w:color w:val="000000"/>
          <w:sz w:val="20"/>
        </w:rPr>
        <w:t xml:space="preserve">PROBLÉMATIQUE  </w:t>
      </w:r>
      <w:r>
        <w:rPr>
          <w:rFonts w:ascii="Calibri" w:hAnsi="Calibri" w:eastAsia="Calibri"/>
          <w:b w:val="0"/>
          <w:i w:val="0"/>
          <w:color w:val="000000"/>
          <w:sz w:val="20"/>
        </w:rPr>
        <w:t>Comment fixer le prix d'une pièce en tenant compte des charges, du temps de travail et des pertes de fabrication ?</w:t>
      </w:r>
    </w:p>
    <w:tbl>
      <w:tblPr>
        <w:tblW w:type="dxa" w:w="10346"/>
        <w:tblLayout w:type="fixed"/>
        <w:tblLook w:firstColumn="1" w:firstRow="1" w:lastColumn="0" w:lastRow="0" w:noHBand="0" w:noVBand="1" w:val="04A0"/>
        <w:tblInd w:type="dxa" w:w="120"/>
        <w:tblBorders>
          <w:top w:val="single" w:sz="6" w:color="9A6347"/>
          <w:left w:val="single" w:sz="4" w:color="C8C8C8"/>
          <w:bottom w:val="single" w:sz="6" w:color="9A6347"/>
          <w:right w:val="single" w:sz="4" w:color="C8C8C8"/>
          <w:insideH w:val="single" w:sz="4" w:color="C8C8C8"/>
          <w:insideV w:val="single" w:sz="4" w:color="C8C8C8"/>
        </w:tblBorders>
      </w:tblPr>
      <w:tblGrid>
        <w:gridCol w:w="3448"/>
        <w:gridCol w:w="3449"/>
        <w:gridCol w:w="3449"/>
      </w:tblGrid>
      <w:tr>
        <w:trPr>
          <w:tblHeader w:val="true"/>
        </w:trPr>
        <w:tc>
          <w:tcPr>
            <w:tcW w:type="dxa" w:w="3448"/>
            <w:vAlign w:val="center"/>
            <w:shd w:val="clear" w:color="auto" w:fill="F6EEE9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CALCULER</w:t>
            </w:r>
          </w:p>
        </w:tc>
        <w:tc>
          <w:tcPr>
            <w:tcW w:type="dxa" w:w="3449"/>
            <w:vAlign w:val="center"/>
            <w:shd w:val="clear" w:color="auto" w:fill="F6EEE9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RÉPARTIR</w:t>
            </w:r>
          </w:p>
        </w:tc>
        <w:tc>
          <w:tcPr>
            <w:tcW w:type="dxa" w:w="3449"/>
            <w:vAlign w:val="center"/>
            <w:shd w:val="clear" w:color="auto" w:fill="F6EEE9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DÉCIDER</w:t>
            </w:r>
          </w:p>
        </w:tc>
      </w:tr>
      <w:tr>
        <w:tc>
          <w:tcPr>
            <w:tcW w:type="dxa" w:w="3448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Le coût du projet</w:t>
            </w:r>
          </w:p>
        </w:tc>
        <w:tc>
          <w:tcPr>
            <w:tcW w:type="dxa" w:w="3449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Les charges fixes</w:t>
            </w:r>
          </w:p>
        </w:tc>
        <w:tc>
          <w:tcPr>
            <w:tcW w:type="dxa" w:w="3449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Le prix minimal HT</w:t>
            </w:r>
          </w:p>
        </w:tc>
      </w:tr>
    </w:tbl>
    <w:p>
      <w:pPr>
        <w:pStyle w:val="Heading1"/>
        <w:pBdr>
          <w:bottom w:val="single" w:sz="10" w:space="4" w:color="9A6347"/>
        </w:pBdr>
      </w:pPr>
      <w:r>
        <w:rPr>
          <w:rFonts w:ascii="Calibri" w:hAnsi="Calibri" w:eastAsia="Calibri"/>
          <w:b/>
          <w:i w:val="0"/>
          <w:color w:val="000000"/>
          <w:sz w:val="32"/>
        </w:rPr>
        <w:t>Introduction - Toutes les pièces fabriquées ne sont pas vendables</w:t>
      </w:r>
    </w:p>
    <w:p>
      <w:pPr>
        <w:keepNext w:val="0"/>
        <w:spacing w:before="0" w:after="80"/>
      </w:pPr>
      <w:r>
        <w:rPr>
          <w:rFonts w:ascii="Calibri" w:hAnsi="Calibri" w:eastAsia="Calibri"/>
          <w:b w:val="0"/>
          <w:i w:val="0"/>
          <w:color w:val="000000"/>
          <w:sz w:val="21"/>
        </w:rPr>
        <w:t>L'atelier KAOLIN doit livrer 60 assiettes en grès émaillé à un restaurant. Chaque assiette est vendue 75 € HT, soit un chiffre d'affaires de 4 500 € HT.</w:t>
      </w:r>
    </w:p>
    <w:p>
      <w:pPr>
        <w:spacing w:before="100" w:after="120"/>
        <w:ind w:left="115" w:right="29"/>
        <w:shd w:val="clear" w:color="auto" w:fill="F6EEE9"/>
        <w:pBdr>
          <w:left w:val="single" w:sz="16" w:space="6" w:color="9A6347"/>
        </w:pBdr>
      </w:pPr>
      <w:r>
        <w:rPr>
          <w:rFonts w:ascii="Calibri" w:hAnsi="Calibri" w:eastAsia="Calibri"/>
          <w:b/>
          <w:i w:val="0"/>
          <w:color w:val="000000"/>
          <w:sz w:val="20"/>
        </w:rPr>
        <w:t xml:space="preserve">QUESTION DE DÉPART  </w:t>
      </w:r>
      <w:r>
        <w:rPr>
          <w:rFonts w:ascii="Calibri" w:hAnsi="Calibri" w:eastAsia="Calibri"/>
          <w:b w:val="0"/>
          <w:i w:val="0"/>
          <w:color w:val="000000"/>
          <w:sz w:val="20"/>
        </w:rPr>
        <w:t>Le prix de 75 € couvre-t-il la matière, les cuissons, les pertes et le temps nécessaire à la commande ?</w:t>
      </w:r>
    </w:p>
    <w:p>
      <w:pPr>
        <w:keepNext w:val="0"/>
        <w:spacing w:before="0" w:after="80"/>
      </w:pPr>
      <w:r>
        <w:rPr>
          <w:rFonts w:ascii="Calibri" w:hAnsi="Calibri" w:eastAsia="Calibri"/>
          <w:b w:val="0"/>
          <w:i w:val="0"/>
          <w:color w:val="000000"/>
          <w:sz w:val="21"/>
        </w:rPr>
        <w:t>Pour répondre, l'atelier doit distinguer la quantité à livrer de la quantité réellement nécessaire à fabriquer.</w:t>
      </w:r>
    </w:p>
    <w:p>
      <w:pPr>
        <w:pStyle w:val="Heading1"/>
        <w:pBdr>
          <w:bottom w:val="single" w:sz="10" w:space="4" w:color="9A6347"/>
        </w:pBdr>
      </w:pPr>
      <w:r>
        <w:rPr>
          <w:rFonts w:ascii="Calibri" w:hAnsi="Calibri" w:eastAsia="Calibri"/>
          <w:b/>
          <w:i w:val="0"/>
          <w:color w:val="000000"/>
          <w:sz w:val="32"/>
        </w:rPr>
        <w:t>I. Calculer les charges variables de la commande</w:t>
      </w:r>
    </w:p>
    <w:p>
      <w:pPr>
        <w:pStyle w:val="Heading2"/>
      </w:pPr>
      <w:r>
        <w:rPr>
          <w:rFonts w:ascii="Calibri" w:hAnsi="Calibri" w:eastAsia="Calibri"/>
          <w:b/>
          <w:i w:val="0"/>
          <w:color w:val="000000"/>
          <w:sz w:val="25"/>
        </w:rPr>
        <w:t>A. Les charges variables par pièce fabriquée</w:t>
      </w:r>
    </w:p>
    <w:p>
      <w:pPr>
        <w:spacing w:before="100" w:after="120"/>
        <w:ind w:left="115" w:right="29"/>
        <w:shd w:val="clear" w:color="auto" w:fill="F6EEE9"/>
        <w:pBdr>
          <w:left w:val="single" w:sz="16" w:space="6" w:color="9A6347"/>
        </w:pBdr>
      </w:pPr>
      <w:r>
        <w:rPr>
          <w:rFonts w:ascii="Calibri" w:hAnsi="Calibri" w:eastAsia="Calibri"/>
          <w:b/>
          <w:i w:val="0"/>
          <w:color w:val="000000"/>
          <w:sz w:val="20"/>
        </w:rPr>
        <w:t xml:space="preserve">RAPPEL  </w:t>
      </w:r>
      <w:r>
        <w:rPr>
          <w:rFonts w:ascii="Calibri" w:hAnsi="Calibri" w:eastAsia="Calibri"/>
          <w:b w:val="0"/>
          <w:i w:val="0"/>
          <w:color w:val="000000"/>
          <w:sz w:val="20"/>
        </w:rPr>
        <w:t>Une charge variable évolue avec le nombre de pièces fabriquées ou avec le niveau d'activité.</w:t>
      </w:r>
    </w:p>
    <w:tbl>
      <w:tblPr>
        <w:tblW w:type="dxa" w:w="10346"/>
        <w:tblLayout w:type="fixed"/>
        <w:tblLook w:firstColumn="1" w:firstRow="1" w:lastColumn="0" w:lastRow="0" w:noHBand="0" w:noVBand="1" w:val="04A0"/>
        <w:tblInd w:type="dxa" w:w="120"/>
        <w:tblBorders>
          <w:top w:val="single" w:sz="6" w:color="9A6347"/>
          <w:left w:val="single" w:sz="4" w:color="C8C8C8"/>
          <w:bottom w:val="single" w:sz="6" w:color="9A6347"/>
          <w:right w:val="single" w:sz="4" w:color="C8C8C8"/>
          <w:insideH w:val="single" w:sz="4" w:color="C8C8C8"/>
          <w:insideV w:val="single" w:sz="4" w:color="C8C8C8"/>
        </w:tblBorders>
      </w:tblPr>
      <w:tblGrid>
        <w:gridCol w:w="7000"/>
        <w:gridCol w:w="3346"/>
      </w:tblGrid>
      <w:tr>
        <w:trPr>
          <w:tblHeader w:val="true"/>
        </w:trPr>
        <w:tc>
          <w:tcPr>
            <w:tcW w:type="dxa" w:w="7000"/>
            <w:vAlign w:val="center"/>
            <w:shd w:val="clear" w:color="auto" w:fill="F6EEE9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Élément utilisé pour une assiette</w:t>
            </w:r>
          </w:p>
        </w:tc>
        <w:tc>
          <w:tcPr>
            <w:tcW w:type="dxa" w:w="3346"/>
            <w:vAlign w:val="center"/>
            <w:shd w:val="clear" w:color="auto" w:fill="F6EEE9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Montant</w:t>
            </w:r>
          </w:p>
        </w:tc>
      </w:tr>
      <w:tr>
        <w:tc>
          <w:tcPr>
            <w:tcW w:type="dxa" w:w="70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Grès</w:t>
            </w:r>
          </w:p>
        </w:tc>
        <w:tc>
          <w:tcPr>
            <w:tcW w:type="dxa" w:w="3346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7 €</w:t>
            </w:r>
          </w:p>
        </w:tc>
      </w:tr>
      <w:tr>
        <w:tc>
          <w:tcPr>
            <w:tcW w:type="dxa" w:w="7000"/>
            <w:vAlign w:val="center"/>
            <w:shd w:val="clear" w:color="auto" w:fill="FBF7F4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Émaux et oxydes</w:t>
            </w:r>
          </w:p>
        </w:tc>
        <w:tc>
          <w:tcPr>
            <w:tcW w:type="dxa" w:w="3346"/>
            <w:vAlign w:val="center"/>
            <w:shd w:val="clear" w:color="auto" w:fill="FBF7F4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3 €</w:t>
            </w:r>
          </w:p>
        </w:tc>
      </w:tr>
      <w:tr>
        <w:tc>
          <w:tcPr>
            <w:tcW w:type="dxa" w:w="70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Énergie des cuissons</w:t>
            </w:r>
          </w:p>
        </w:tc>
        <w:tc>
          <w:tcPr>
            <w:tcW w:type="dxa" w:w="3346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5 €</w:t>
            </w:r>
          </w:p>
        </w:tc>
      </w:tr>
      <w:tr>
        <w:tc>
          <w:tcPr>
            <w:tcW w:type="dxa" w:w="7000"/>
            <w:vAlign w:val="center"/>
            <w:shd w:val="clear" w:color="auto" w:fill="FBF7F4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Emballage et protection</w:t>
            </w:r>
          </w:p>
        </w:tc>
        <w:tc>
          <w:tcPr>
            <w:tcW w:type="dxa" w:w="3346"/>
            <w:vAlign w:val="center"/>
            <w:shd w:val="clear" w:color="auto" w:fill="FBF7F4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4 €</w:t>
            </w:r>
          </w:p>
        </w:tc>
      </w:tr>
    </w:tbl>
    <w:p>
      <w:pPr>
        <w:spacing w:before="100" w:after="120"/>
        <w:jc w:val="center"/>
      </w:pPr>
      <w:r>
        <w:rPr>
          <w:rFonts w:ascii="Calibri" w:hAnsi="Calibri" w:eastAsia="Calibri"/>
          <w:b/>
          <w:i w:val="0"/>
          <w:color w:val="000000"/>
          <w:sz w:val="22"/>
        </w:rPr>
        <w:t>Charges variables par assiette fabriquée = 7 + 3 + 5 + 4 = 19 €</w:t>
      </w:r>
    </w:p>
    <w:p>
      <w:pPr>
        <w:pStyle w:val="Heading2"/>
      </w:pPr>
      <w:r>
        <w:rPr>
          <w:rFonts w:ascii="Calibri" w:hAnsi="Calibri" w:eastAsia="Calibri"/>
          <w:b/>
          <w:i w:val="0"/>
          <w:color w:val="000000"/>
          <w:sz w:val="25"/>
        </w:rPr>
        <w:t>B. Tenir compte des pertes de fabrication</w:t>
      </w:r>
    </w:p>
    <w:p>
      <w:pPr>
        <w:keepNext w:val="0"/>
        <w:spacing w:before="0" w:after="80"/>
      </w:pPr>
      <w:r>
        <w:rPr>
          <w:rFonts w:ascii="Calibri" w:hAnsi="Calibri" w:eastAsia="Calibri"/>
          <w:b w:val="0"/>
          <w:i w:val="0"/>
          <w:color w:val="000000"/>
          <w:sz w:val="21"/>
        </w:rPr>
        <w:t>L'atelier estime que 10 % des pièces fabriquées seront perdues pendant le séchage, l'émaillage ou la cuisson. Pour livrer 60 assiettes vendables, il doit donc en fabriquer davantage.</w:t>
      </w:r>
    </w:p>
    <w:p>
      <w:pPr>
        <w:spacing w:before="100" w:after="120"/>
        <w:jc w:val="center"/>
      </w:pPr>
      <w:r>
        <w:rPr>
          <w:rFonts w:ascii="Calibri" w:hAnsi="Calibri" w:eastAsia="Calibri"/>
          <w:b/>
          <w:i w:val="0"/>
          <w:color w:val="000000"/>
          <w:sz w:val="22"/>
        </w:rPr>
        <w:t>Quantité à fabriquer = quantité à livrer ÷ proportion de pièces réussies</w:t>
      </w:r>
    </w:p>
    <w:p>
      <w:pPr>
        <w:spacing w:before="100" w:after="120"/>
        <w:jc w:val="center"/>
      </w:pPr>
      <w:r>
        <w:rPr>
          <w:rFonts w:ascii="Calibri" w:hAnsi="Calibri" w:eastAsia="Calibri"/>
          <w:b/>
          <w:i w:val="0"/>
          <w:color w:val="000000"/>
          <w:sz w:val="22"/>
        </w:rPr>
        <w:t>60 ÷ 0,90 = 66,67, soit 67 assiettes à fabriquer</w:t>
      </w:r>
    </w:p>
    <w:p>
      <w:pPr>
        <w:spacing w:before="100" w:after="120"/>
        <w:jc w:val="center"/>
      </w:pPr>
      <w:r>
        <w:rPr>
          <w:rFonts w:ascii="Calibri" w:hAnsi="Calibri" w:eastAsia="Calibri"/>
          <w:b/>
          <w:i w:val="0"/>
          <w:color w:val="000000"/>
          <w:sz w:val="22"/>
        </w:rPr>
        <w:t>Charges variables totales = 67 × 19 € = 1 273 €</w:t>
      </w:r>
    </w:p>
    <w:p>
      <w:pPr>
        <w:spacing w:before="100" w:after="120"/>
        <w:ind w:left="115" w:right="29"/>
        <w:shd w:val="clear" w:color="auto" w:fill="F6EEE9"/>
        <w:pBdr>
          <w:left w:val="single" w:sz="16" w:space="6" w:color="9A6347"/>
        </w:pBdr>
      </w:pPr>
      <w:r>
        <w:rPr>
          <w:rFonts w:ascii="Calibri" w:hAnsi="Calibri" w:eastAsia="Calibri"/>
          <w:b/>
          <w:i w:val="0"/>
          <w:color w:val="000000"/>
          <w:sz w:val="20"/>
        </w:rPr>
        <w:t xml:space="preserve">À RETENIR  </w:t>
      </w:r>
      <w:r>
        <w:rPr>
          <w:rFonts w:ascii="Calibri" w:hAnsi="Calibri" w:eastAsia="Calibri"/>
          <w:b w:val="0"/>
          <w:i w:val="0"/>
          <w:color w:val="000000"/>
          <w:sz w:val="20"/>
        </w:rPr>
        <w:t>Une pièce cassée ou défectueuse ne produit aucun chiffre d'affaires, mais elle a consommé de la terre, de l'émail, de l'énergie et du temps.</w:t>
      </w:r>
    </w:p>
    <w:p>
      <w:r>
        <w:br w:type="page"/>
      </w:r>
    </w:p>
    <w:p>
      <w:pPr>
        <w:pStyle w:val="Heading1"/>
        <w:pBdr>
          <w:bottom w:val="single" w:sz="10" w:space="4" w:color="9A6347"/>
        </w:pBdr>
      </w:pPr>
      <w:r>
        <w:rPr>
          <w:rFonts w:ascii="Calibri" w:hAnsi="Calibri" w:eastAsia="Calibri"/>
          <w:b/>
          <w:i w:val="0"/>
          <w:color w:val="000000"/>
          <w:sz w:val="32"/>
        </w:rPr>
        <w:t>II. Attribuer une part des charges fixes à la commande</w:t>
      </w:r>
    </w:p>
    <w:p>
      <w:pPr>
        <w:pStyle w:val="Heading2"/>
      </w:pPr>
      <w:r>
        <w:rPr>
          <w:rFonts w:ascii="Calibri" w:hAnsi="Calibri" w:eastAsia="Calibri"/>
          <w:b/>
          <w:i w:val="0"/>
          <w:color w:val="000000"/>
          <w:sz w:val="25"/>
        </w:rPr>
        <w:t>A. Pourquoi intégrer les charges fixes ?</w:t>
      </w:r>
    </w:p>
    <w:p>
      <w:pPr>
        <w:keepNext w:val="0"/>
        <w:spacing w:before="0" w:after="80"/>
      </w:pPr>
      <w:r>
        <w:rPr>
          <w:rFonts w:ascii="Calibri" w:hAnsi="Calibri" w:eastAsia="Calibri"/>
          <w:b w:val="0"/>
          <w:i w:val="0"/>
          <w:color w:val="000000"/>
          <w:sz w:val="21"/>
        </w:rPr>
        <w:t>Le loyer de l'atelier, l'assurance, les abonnements et le site Internet doivent être payés même si aucun objet n'est vendu. Chaque commande doit donc contribuer à leur financement.</w:t>
      </w:r>
    </w:p>
    <w:p>
      <w:pPr>
        <w:spacing w:before="100" w:after="120"/>
        <w:ind w:left="115" w:right="29"/>
        <w:shd w:val="clear" w:color="auto" w:fill="F6EEE9"/>
        <w:pBdr>
          <w:left w:val="single" w:sz="16" w:space="6" w:color="9A6347"/>
        </w:pBdr>
      </w:pPr>
      <w:r>
        <w:rPr>
          <w:rFonts w:ascii="Calibri" w:hAnsi="Calibri" w:eastAsia="Calibri"/>
          <w:b/>
          <w:i w:val="0"/>
          <w:color w:val="000000"/>
          <w:sz w:val="20"/>
        </w:rPr>
        <w:t xml:space="preserve">POINT DE VIGILANCE  </w:t>
      </w:r>
      <w:r>
        <w:rPr>
          <w:rFonts w:ascii="Calibri" w:hAnsi="Calibri" w:eastAsia="Calibri"/>
          <w:b w:val="0"/>
          <w:i w:val="0"/>
          <w:color w:val="000000"/>
          <w:sz w:val="20"/>
        </w:rPr>
        <w:t>Le coût de la terre et des émaux ne suffit pas à déterminer le coût réel d'une pièce.</w:t>
      </w:r>
    </w:p>
    <w:p>
      <w:pPr>
        <w:pStyle w:val="Heading2"/>
      </w:pPr>
      <w:r>
        <w:rPr>
          <w:rFonts w:ascii="Calibri" w:hAnsi="Calibri" w:eastAsia="Calibri"/>
          <w:b/>
          <w:i w:val="0"/>
          <w:color w:val="000000"/>
          <w:sz w:val="25"/>
        </w:rPr>
        <w:t>B. Une méthode simple de répartition</w:t>
      </w:r>
    </w:p>
    <w:p>
      <w:pPr>
        <w:keepNext w:val="0"/>
        <w:spacing w:before="0" w:after="80"/>
      </w:pPr>
      <w:r>
        <w:rPr>
          <w:rFonts w:ascii="Calibri" w:hAnsi="Calibri" w:eastAsia="Calibri"/>
          <w:b w:val="0"/>
          <w:i w:val="0"/>
          <w:color w:val="000000"/>
          <w:sz w:val="21"/>
        </w:rPr>
        <w:t>L'atelier KAOLIN supporte 751 € de charges fixes par mois et prévoit quatre commandes pendant ce mois.</w:t>
      </w:r>
    </w:p>
    <w:p>
      <w:pPr>
        <w:spacing w:before="100" w:after="120"/>
        <w:jc w:val="center"/>
      </w:pPr>
      <w:r>
        <w:rPr>
          <w:rFonts w:ascii="Calibri" w:hAnsi="Calibri" w:eastAsia="Calibri"/>
          <w:b/>
          <w:i w:val="0"/>
          <w:color w:val="000000"/>
          <w:sz w:val="22"/>
        </w:rPr>
        <w:t>Part des charges fixes = charges fixes mensuelles ÷ nombre de commandes prévues</w:t>
      </w:r>
    </w:p>
    <w:p>
      <w:pPr>
        <w:spacing w:before="100" w:after="120"/>
        <w:jc w:val="center"/>
      </w:pPr>
      <w:r>
        <w:rPr>
          <w:rFonts w:ascii="Calibri" w:hAnsi="Calibri" w:eastAsia="Calibri"/>
          <w:b/>
          <w:i w:val="0"/>
          <w:color w:val="000000"/>
          <w:sz w:val="22"/>
        </w:rPr>
        <w:t>751 € ÷ 4 commandes = 187,75 € par commande</w:t>
      </w:r>
    </w:p>
    <w:p>
      <w:pPr>
        <w:keepNext w:val="0"/>
        <w:spacing w:before="0" w:after="80"/>
      </w:pPr>
      <w:r>
        <w:rPr>
          <w:rFonts w:ascii="Calibri" w:hAnsi="Calibri" w:eastAsia="Calibri"/>
          <w:b w:val="0"/>
          <w:i w:val="0"/>
          <w:color w:val="000000"/>
          <w:sz w:val="21"/>
        </w:rPr>
        <w:t>La commande des assiettes doit donc contribuer à hauteur de 187,75 € au financement des charges fixes.</w:t>
      </w:r>
    </w:p>
    <w:p>
      <w:pPr>
        <w:pStyle w:val="Heading2"/>
      </w:pPr>
      <w:r>
        <w:rPr>
          <w:rFonts w:ascii="Calibri" w:hAnsi="Calibri" w:eastAsia="Calibri"/>
          <w:b/>
          <w:i w:val="0"/>
          <w:color w:val="000000"/>
          <w:sz w:val="25"/>
        </w:rPr>
        <w:t>C. Une estimation à réviser</w:t>
      </w:r>
    </w:p>
    <w:p>
      <w:pPr>
        <w:keepNext w:val="0"/>
        <w:spacing w:before="0" w:after="80"/>
      </w:pPr>
      <w:r>
        <w:rPr>
          <w:rFonts w:ascii="Calibri" w:hAnsi="Calibri" w:eastAsia="Calibri"/>
          <w:b w:val="0"/>
          <w:i w:val="0"/>
          <w:color w:val="000000"/>
          <w:sz w:val="21"/>
        </w:rPr>
        <w:t>Une commande très longue ou utilisant plusieurs cycles de cuisson peut justifier une part plus importante des charges fixes. La méthode retenue doit rester cohérente avec l'activité réelle de l'atelier.</w:t>
      </w:r>
    </w:p>
    <w:p>
      <w:pPr>
        <w:pStyle w:val="Heading1"/>
        <w:pBdr>
          <w:bottom w:val="single" w:sz="10" w:space="4" w:color="9A6347"/>
        </w:pBdr>
      </w:pPr>
      <w:r>
        <w:rPr>
          <w:rFonts w:ascii="Calibri" w:hAnsi="Calibri" w:eastAsia="Calibri"/>
          <w:b/>
          <w:i w:val="0"/>
          <w:color w:val="000000"/>
          <w:sz w:val="32"/>
        </w:rPr>
        <w:t>III. Valoriser le temps de travail</w:t>
      </w:r>
    </w:p>
    <w:p>
      <w:pPr>
        <w:pStyle w:val="Heading2"/>
      </w:pPr>
      <w:r>
        <w:rPr>
          <w:rFonts w:ascii="Calibri" w:hAnsi="Calibri" w:eastAsia="Calibri"/>
          <w:b/>
          <w:i w:val="0"/>
          <w:color w:val="000000"/>
          <w:sz w:val="25"/>
        </w:rPr>
        <w:t>A. Le temps de fabrication dépasse le façonnage</w:t>
      </w:r>
    </w:p>
    <w:p>
      <w:pPr>
        <w:keepNext w:val="0"/>
        <w:spacing w:before="0" w:after="80"/>
      </w:pPr>
      <w:r>
        <w:rPr>
          <w:rFonts w:ascii="Calibri" w:hAnsi="Calibri" w:eastAsia="Calibri"/>
          <w:b w:val="0"/>
          <w:i w:val="0"/>
          <w:color w:val="000000"/>
          <w:sz w:val="21"/>
        </w:rPr>
        <w:t>Le calcul doit intégrer la préparation de la terre, le façonnage, les finitions, l'émaillage, l'enfournement, le défournement, le contrôle des pièces, l'emballage et la livraison.</w:t>
      </w:r>
    </w:p>
    <w:p>
      <w:pPr>
        <w:spacing w:before="100" w:after="120"/>
        <w:ind w:left="115" w:right="29"/>
        <w:shd w:val="clear" w:color="auto" w:fill="F6EEE9"/>
        <w:pBdr>
          <w:left w:val="single" w:sz="16" w:space="6" w:color="9A6347"/>
        </w:pBdr>
      </w:pPr>
      <w:r>
        <w:rPr>
          <w:rFonts w:ascii="Calibri" w:hAnsi="Calibri" w:eastAsia="Calibri"/>
          <w:b/>
          <w:i w:val="0"/>
          <w:color w:val="000000"/>
          <w:sz w:val="20"/>
        </w:rPr>
        <w:t xml:space="preserve">REMARQUE  </w:t>
      </w:r>
      <w:r>
        <w:rPr>
          <w:rFonts w:ascii="Calibri" w:hAnsi="Calibri" w:eastAsia="Calibri"/>
          <w:b w:val="0"/>
          <w:i w:val="0"/>
          <w:color w:val="000000"/>
          <w:sz w:val="20"/>
        </w:rPr>
        <w:t>Les temps d'attente liés au séchage ne sont pas tous des heures de travail, mais les contrôles et les manipulations réalisés pendant cette période doivent être comptabilisés.</w:t>
      </w:r>
    </w:p>
    <w:p>
      <w:pPr>
        <w:pStyle w:val="Heading2"/>
      </w:pPr>
      <w:r>
        <w:rPr>
          <w:rFonts w:ascii="Calibri" w:hAnsi="Calibri" w:eastAsia="Calibri"/>
          <w:b/>
          <w:i w:val="0"/>
          <w:color w:val="000000"/>
          <w:sz w:val="25"/>
        </w:rPr>
        <w:t>B. Calculer la valeur du travail</w:t>
      </w:r>
    </w:p>
    <w:p>
      <w:pPr>
        <w:spacing w:before="100" w:after="120"/>
        <w:jc w:val="center"/>
      </w:pPr>
      <w:r>
        <w:rPr>
          <w:rFonts w:ascii="Calibri" w:hAnsi="Calibri" w:eastAsia="Calibri"/>
          <w:b/>
          <w:i w:val="0"/>
          <w:color w:val="000000"/>
          <w:sz w:val="22"/>
        </w:rPr>
        <w:t>Valeur du travail = nombre d'heures prévues × valeur horaire retenue</w:t>
      </w:r>
    </w:p>
    <w:p>
      <w:pPr>
        <w:keepNext w:val="0"/>
        <w:spacing w:before="0" w:after="80"/>
      </w:pPr>
      <w:r>
        <w:rPr>
          <w:rFonts w:ascii="Calibri" w:hAnsi="Calibri" w:eastAsia="Calibri"/>
          <w:b w:val="0"/>
          <w:i w:val="0"/>
          <w:color w:val="000000"/>
          <w:sz w:val="21"/>
        </w:rPr>
        <w:t>L'atelier prévoit 65 heures de travail et retient une valeur de 24 € par heure.</w:t>
      </w:r>
    </w:p>
    <w:p>
      <w:pPr>
        <w:spacing w:before="100" w:after="120"/>
        <w:jc w:val="center"/>
      </w:pPr>
      <w:r>
        <w:rPr>
          <w:rFonts w:ascii="Calibri" w:hAnsi="Calibri" w:eastAsia="Calibri"/>
          <w:b/>
          <w:i w:val="0"/>
          <w:color w:val="000000"/>
          <w:sz w:val="22"/>
        </w:rPr>
        <w:t>65 heures × 24 € = 1 560 €</w:t>
      </w:r>
    </w:p>
    <w:p>
      <w:pPr>
        <w:pStyle w:val="Heading2"/>
      </w:pPr>
      <w:r>
        <w:rPr>
          <w:rFonts w:ascii="Calibri" w:hAnsi="Calibri" w:eastAsia="Calibri"/>
          <w:b/>
          <w:i w:val="0"/>
          <w:color w:val="000000"/>
          <w:sz w:val="25"/>
        </w:rPr>
        <w:t>C. Les heures souvent oubliées</w:t>
      </w:r>
    </w:p>
    <w:p>
      <w:pPr>
        <w:spacing w:before="20" w:after="50"/>
        <w:ind w:left="317"/>
        <w:pBdr>
          <w:left w:val="single" w:sz="9" w:space="6" w:color="9A6347"/>
        </w:pBdr>
      </w:pPr>
      <w:r>
        <w:rPr>
          <w:rFonts w:ascii="Calibri" w:hAnsi="Calibri" w:eastAsia="Calibri"/>
          <w:b w:val="0"/>
          <w:i w:val="0"/>
          <w:color w:val="000000"/>
          <w:sz w:val="20"/>
        </w:rPr>
        <w:t>Les essais de formes, de décors et d'émaux réalisés avant la série.</w:t>
      </w:r>
    </w:p>
    <w:p>
      <w:pPr>
        <w:spacing w:before="20" w:after="50"/>
        <w:ind w:left="317"/>
        <w:pBdr>
          <w:left w:val="single" w:sz="9" w:space="6" w:color="9A6347"/>
        </w:pBdr>
      </w:pPr>
      <w:r>
        <w:rPr>
          <w:rFonts w:ascii="Calibri" w:hAnsi="Calibri" w:eastAsia="Calibri"/>
          <w:b w:val="0"/>
          <w:i w:val="0"/>
          <w:color w:val="000000"/>
          <w:sz w:val="20"/>
        </w:rPr>
        <w:t>La préparation et le nettoyage du matériel ainsi que la gestion des cuissons.</w:t>
      </w:r>
    </w:p>
    <w:p>
      <w:pPr>
        <w:spacing w:before="20" w:after="50"/>
        <w:ind w:left="317"/>
        <w:pBdr>
          <w:left w:val="single" w:sz="9" w:space="6" w:color="9A6347"/>
        </w:pBdr>
      </w:pPr>
      <w:r>
        <w:rPr>
          <w:rFonts w:ascii="Calibri" w:hAnsi="Calibri" w:eastAsia="Calibri"/>
          <w:b w:val="0"/>
          <w:i w:val="0"/>
          <w:color w:val="000000"/>
          <w:sz w:val="20"/>
        </w:rPr>
        <w:t>Le contrôle, le tri, l'emballage, la photographie et la livraison des pièces.</w:t>
      </w:r>
    </w:p>
    <w:p>
      <w:r>
        <w:br w:type="page"/>
      </w:r>
    </w:p>
    <w:p>
      <w:pPr>
        <w:pStyle w:val="Heading1"/>
        <w:pBdr>
          <w:bottom w:val="single" w:sz="10" w:space="4" w:color="9A6347"/>
        </w:pBdr>
      </w:pPr>
      <w:r>
        <w:rPr>
          <w:rFonts w:ascii="Calibri" w:hAnsi="Calibri" w:eastAsia="Calibri"/>
          <w:b/>
          <w:i w:val="0"/>
          <w:color w:val="000000"/>
          <w:sz w:val="32"/>
        </w:rPr>
        <w:t>IV. Calculer le coût de revient</w:t>
      </w:r>
    </w:p>
    <w:p>
      <w:pPr>
        <w:pStyle w:val="Heading2"/>
      </w:pPr>
      <w:r>
        <w:rPr>
          <w:rFonts w:ascii="Calibri" w:hAnsi="Calibri" w:eastAsia="Calibri"/>
          <w:b/>
          <w:i w:val="0"/>
          <w:color w:val="000000"/>
          <w:sz w:val="25"/>
        </w:rPr>
        <w:t>A. Le coût de revient total de la commande</w:t>
      </w:r>
    </w:p>
    <w:p>
      <w:pPr>
        <w:spacing w:before="100" w:after="120"/>
        <w:ind w:left="115" w:right="29"/>
        <w:shd w:val="clear" w:color="auto" w:fill="F6EEE9"/>
        <w:pBdr>
          <w:left w:val="single" w:sz="16" w:space="6" w:color="9A6347"/>
        </w:pBdr>
      </w:pPr>
      <w:r>
        <w:rPr>
          <w:rFonts w:ascii="Calibri" w:hAnsi="Calibri" w:eastAsia="Calibri"/>
          <w:b/>
          <w:i w:val="0"/>
          <w:color w:val="000000"/>
          <w:sz w:val="20"/>
        </w:rPr>
        <w:t xml:space="preserve">DÉFINITION  </w:t>
      </w:r>
      <w:r>
        <w:rPr>
          <w:rFonts w:ascii="Calibri" w:hAnsi="Calibri" w:eastAsia="Calibri"/>
          <w:b w:val="0"/>
          <w:i w:val="0"/>
          <w:color w:val="000000"/>
          <w:sz w:val="20"/>
        </w:rPr>
        <w:t>Le coût de revient correspond à l'ensemble des éléments que le prix de la commande doit permettre de couvrir.</w:t>
      </w:r>
    </w:p>
    <w:p>
      <w:pPr>
        <w:spacing w:before="100" w:after="120"/>
        <w:jc w:val="center"/>
      </w:pPr>
      <w:r>
        <w:rPr>
          <w:rFonts w:ascii="Calibri" w:hAnsi="Calibri" w:eastAsia="Calibri"/>
          <w:b/>
          <w:i w:val="0"/>
          <w:color w:val="000000"/>
          <w:sz w:val="22"/>
        </w:rPr>
        <w:t>Coût de revient total = charges variables + dépenses propres à la commande + part des charges fixes + valeur du travail</w:t>
      </w:r>
    </w:p>
    <w:p>
      <w:pPr>
        <w:keepNext w:val="0"/>
        <w:spacing w:before="0" w:after="80"/>
      </w:pPr>
      <w:r>
        <w:rPr>
          <w:rFonts w:ascii="Calibri" w:hAnsi="Calibri" w:eastAsia="Calibri"/>
          <w:b w:val="0"/>
          <w:i w:val="0"/>
          <w:color w:val="000000"/>
          <w:sz w:val="21"/>
        </w:rPr>
        <w:t>La commande nécessite également 120 € d'essais et de prototypes ainsi que 130 € de livraison, soit 250 € de dépenses propres à la commande.</w:t>
      </w:r>
    </w:p>
    <w:tbl>
      <w:tblPr>
        <w:tblW w:type="dxa" w:w="10346"/>
        <w:tblLayout w:type="fixed"/>
        <w:tblLook w:firstColumn="1" w:firstRow="1" w:lastColumn="0" w:lastRow="0" w:noHBand="0" w:noVBand="1" w:val="04A0"/>
        <w:tblInd w:type="dxa" w:w="120"/>
        <w:tblBorders>
          <w:top w:val="single" w:sz="6" w:color="9A6347"/>
          <w:left w:val="single" w:sz="4" w:color="C8C8C8"/>
          <w:bottom w:val="single" w:sz="6" w:color="9A6347"/>
          <w:right w:val="single" w:sz="4" w:color="C8C8C8"/>
          <w:insideH w:val="single" w:sz="4" w:color="C8C8C8"/>
          <w:insideV w:val="single" w:sz="4" w:color="C8C8C8"/>
        </w:tblBorders>
      </w:tblPr>
      <w:tblGrid>
        <w:gridCol w:w="4200"/>
        <w:gridCol w:w="3600"/>
        <w:gridCol w:w="2546"/>
      </w:tblGrid>
      <w:tr>
        <w:trPr>
          <w:tblHeader w:val="true"/>
        </w:trPr>
        <w:tc>
          <w:tcPr>
            <w:tcW w:type="dxa" w:w="4200"/>
            <w:vAlign w:val="center"/>
            <w:shd w:val="clear" w:color="auto" w:fill="F6EEE9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Éléments du coût de revient</w:t>
            </w:r>
          </w:p>
        </w:tc>
        <w:tc>
          <w:tcPr>
            <w:tcW w:type="dxa" w:w="3600"/>
            <w:vAlign w:val="center"/>
            <w:shd w:val="clear" w:color="auto" w:fill="F6EEE9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Calcul</w:t>
            </w:r>
          </w:p>
        </w:tc>
        <w:tc>
          <w:tcPr>
            <w:tcW w:type="dxa" w:w="2546"/>
            <w:vAlign w:val="center"/>
            <w:shd w:val="clear" w:color="auto" w:fill="F6EEE9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Montant</w:t>
            </w:r>
          </w:p>
        </w:tc>
      </w:tr>
      <w:tr>
        <w:tc>
          <w:tcPr>
            <w:tcW w:type="dxa" w:w="42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Charges variables</w:t>
            </w:r>
          </w:p>
        </w:tc>
        <w:tc>
          <w:tcPr>
            <w:tcW w:type="dxa" w:w="3600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67 × 19 €</w:t>
            </w:r>
          </w:p>
        </w:tc>
        <w:tc>
          <w:tcPr>
            <w:tcW w:type="dxa" w:w="2546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1 273 €</w:t>
            </w:r>
          </w:p>
        </w:tc>
      </w:tr>
      <w:tr>
        <w:tc>
          <w:tcPr>
            <w:tcW w:type="dxa" w:w="4200"/>
            <w:vAlign w:val="center"/>
            <w:shd w:val="clear" w:color="auto" w:fill="FBF7F4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Dépenses propres à la commande</w:t>
            </w:r>
          </w:p>
        </w:tc>
        <w:tc>
          <w:tcPr>
            <w:tcW w:type="dxa" w:w="3600"/>
            <w:vAlign w:val="center"/>
            <w:shd w:val="clear" w:color="auto" w:fill="FBF7F4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120 € + 130 €</w:t>
            </w:r>
          </w:p>
        </w:tc>
        <w:tc>
          <w:tcPr>
            <w:tcW w:type="dxa" w:w="2546"/>
            <w:vAlign w:val="center"/>
            <w:shd w:val="clear" w:color="auto" w:fill="FBF7F4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250 €</w:t>
            </w:r>
          </w:p>
        </w:tc>
      </w:tr>
      <w:tr>
        <w:tc>
          <w:tcPr>
            <w:tcW w:type="dxa" w:w="42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Part des charges fixes</w:t>
            </w:r>
          </w:p>
        </w:tc>
        <w:tc>
          <w:tcPr>
            <w:tcW w:type="dxa" w:w="3600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751 € ÷ 4</w:t>
            </w:r>
          </w:p>
        </w:tc>
        <w:tc>
          <w:tcPr>
            <w:tcW w:type="dxa" w:w="2546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187,75 €</w:t>
            </w:r>
          </w:p>
        </w:tc>
      </w:tr>
      <w:tr>
        <w:tc>
          <w:tcPr>
            <w:tcW w:type="dxa" w:w="4200"/>
            <w:vAlign w:val="center"/>
            <w:shd w:val="clear" w:color="auto" w:fill="FBF7F4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Valeur du travail</w:t>
            </w:r>
          </w:p>
        </w:tc>
        <w:tc>
          <w:tcPr>
            <w:tcW w:type="dxa" w:w="3600"/>
            <w:vAlign w:val="center"/>
            <w:shd w:val="clear" w:color="auto" w:fill="FBF7F4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65 h × 24 €</w:t>
            </w:r>
          </w:p>
        </w:tc>
        <w:tc>
          <w:tcPr>
            <w:tcW w:type="dxa" w:w="2546"/>
            <w:vAlign w:val="center"/>
            <w:shd w:val="clear" w:color="auto" w:fill="FBF7F4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1 560 €</w:t>
            </w:r>
          </w:p>
        </w:tc>
      </w:tr>
      <w:tr>
        <w:tc>
          <w:tcPr>
            <w:tcW w:type="dxa" w:w="42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Coût de revient total</w:t>
            </w:r>
          </w:p>
        </w:tc>
        <w:tc>
          <w:tcPr>
            <w:tcW w:type="dxa" w:w="3600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1 273 + 250 + 187,75 + 1 560</w:t>
            </w:r>
          </w:p>
        </w:tc>
        <w:tc>
          <w:tcPr>
            <w:tcW w:type="dxa" w:w="2546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3 270,75 €</w:t>
            </w:r>
          </w:p>
        </w:tc>
      </w:tr>
    </w:tbl>
    <w:p>
      <w:pPr>
        <w:pStyle w:val="Heading2"/>
      </w:pPr>
      <w:r>
        <w:rPr>
          <w:rFonts w:ascii="Calibri" w:hAnsi="Calibri" w:eastAsia="Calibri"/>
          <w:b/>
          <w:i w:val="0"/>
          <w:color w:val="000000"/>
          <w:sz w:val="25"/>
        </w:rPr>
        <w:t>B. Le coût de revient d'une pièce vendable</w:t>
      </w:r>
    </w:p>
    <w:p>
      <w:pPr>
        <w:spacing w:before="100" w:after="120"/>
        <w:jc w:val="center"/>
      </w:pPr>
      <w:r>
        <w:rPr>
          <w:rFonts w:ascii="Calibri" w:hAnsi="Calibri" w:eastAsia="Calibri"/>
          <w:b/>
          <w:i w:val="0"/>
          <w:color w:val="000000"/>
          <w:sz w:val="22"/>
        </w:rPr>
        <w:t>Coût de revient unitaire = coût de revient total ÷ nombre de pièces vendables</w:t>
      </w:r>
    </w:p>
    <w:p>
      <w:pPr>
        <w:spacing w:before="100" w:after="120"/>
        <w:jc w:val="center"/>
      </w:pPr>
      <w:r>
        <w:rPr>
          <w:rFonts w:ascii="Calibri" w:hAnsi="Calibri" w:eastAsia="Calibri"/>
          <w:b/>
          <w:i w:val="0"/>
          <w:color w:val="000000"/>
          <w:sz w:val="22"/>
        </w:rPr>
        <w:t>3 270,75 € ÷ 60 assiettes = 54,51 € par assiette vendable</w:t>
      </w:r>
    </w:p>
    <w:p>
      <w:pPr>
        <w:pStyle w:val="Heading1"/>
        <w:pBdr>
          <w:bottom w:val="single" w:sz="10" w:space="4" w:color="9A6347"/>
        </w:pBdr>
      </w:pPr>
      <w:r>
        <w:rPr>
          <w:rFonts w:ascii="Calibri" w:hAnsi="Calibri" w:eastAsia="Calibri"/>
          <w:b/>
          <w:i w:val="0"/>
          <w:color w:val="000000"/>
          <w:sz w:val="32"/>
        </w:rPr>
        <w:t>V. Déterminer le prix minimal à facturer</w:t>
      </w:r>
    </w:p>
    <w:p>
      <w:pPr>
        <w:pStyle w:val="Heading2"/>
      </w:pPr>
      <w:r>
        <w:rPr>
          <w:rFonts w:ascii="Calibri" w:hAnsi="Calibri" w:eastAsia="Calibri"/>
          <w:b/>
          <w:i w:val="0"/>
          <w:color w:val="000000"/>
          <w:sz w:val="25"/>
        </w:rPr>
        <w:t>A. Le prix minimal</w:t>
      </w:r>
    </w:p>
    <w:p>
      <w:pPr>
        <w:spacing w:before="100" w:after="120"/>
        <w:jc w:val="center"/>
      </w:pPr>
      <w:r>
        <w:rPr>
          <w:rFonts w:ascii="Calibri" w:hAnsi="Calibri" w:eastAsia="Calibri"/>
          <w:b/>
          <w:i w:val="0"/>
          <w:color w:val="000000"/>
          <w:sz w:val="22"/>
        </w:rPr>
        <w:t>Prix minimal de la commande = 3 270,75 € HT</w:t>
      </w:r>
    </w:p>
    <w:p>
      <w:pPr>
        <w:spacing w:before="100" w:after="120"/>
        <w:jc w:val="center"/>
      </w:pPr>
      <w:r>
        <w:rPr>
          <w:rFonts w:ascii="Calibri" w:hAnsi="Calibri" w:eastAsia="Calibri"/>
          <w:b/>
          <w:i w:val="0"/>
          <w:color w:val="000000"/>
          <w:sz w:val="22"/>
        </w:rPr>
        <w:t>Prix minimal unitaire = 54,51 € HT</w:t>
      </w:r>
    </w:p>
    <w:p>
      <w:pPr>
        <w:pStyle w:val="Heading2"/>
      </w:pPr>
      <w:r>
        <w:rPr>
          <w:rFonts w:ascii="Calibri" w:hAnsi="Calibri" w:eastAsia="Calibri"/>
          <w:b/>
          <w:i w:val="0"/>
          <w:color w:val="000000"/>
          <w:sz w:val="25"/>
        </w:rPr>
        <w:t>B. Comparer le prix prévu au coût de revient</w:t>
      </w:r>
    </w:p>
    <w:p>
      <w:pPr>
        <w:keepNext w:val="0"/>
        <w:spacing w:before="0" w:after="80"/>
      </w:pPr>
      <w:r>
        <w:rPr>
          <w:rFonts w:ascii="Calibri" w:hAnsi="Calibri" w:eastAsia="Calibri"/>
          <w:b w:val="0"/>
          <w:i w:val="0"/>
          <w:color w:val="000000"/>
          <w:sz w:val="21"/>
        </w:rPr>
        <w:t>Les 60 assiettes sont vendues 75 € HT, soit un chiffre d'affaires de 4 500 € HT.</w:t>
      </w:r>
    </w:p>
    <w:p>
      <w:pPr>
        <w:spacing w:before="100" w:after="120"/>
        <w:jc w:val="center"/>
      </w:pPr>
      <w:r>
        <w:rPr>
          <w:rFonts w:ascii="Calibri" w:hAnsi="Calibri" w:eastAsia="Calibri"/>
          <w:b/>
          <w:i w:val="0"/>
          <w:color w:val="000000"/>
          <w:sz w:val="22"/>
        </w:rPr>
        <w:t>Écart entre le chiffre d'affaires et le coût estimé = 4 500 − 3 270,75 = 1 229,25 €</w:t>
      </w:r>
    </w:p>
    <w:p>
      <w:pPr>
        <w:spacing w:before="100" w:after="120"/>
        <w:ind w:left="115" w:right="29"/>
        <w:shd w:val="clear" w:color="auto" w:fill="F6EEE9"/>
        <w:pBdr>
          <w:left w:val="single" w:sz="16" w:space="6" w:color="9A6347"/>
        </w:pBdr>
      </w:pPr>
      <w:r>
        <w:rPr>
          <w:rFonts w:ascii="Calibri" w:hAnsi="Calibri" w:eastAsia="Calibri"/>
          <w:b/>
          <w:i w:val="0"/>
          <w:color w:val="000000"/>
          <w:sz w:val="20"/>
        </w:rPr>
        <w:t xml:space="preserve">À RETENIR  </w:t>
      </w:r>
      <w:r>
        <w:rPr>
          <w:rFonts w:ascii="Calibri" w:hAnsi="Calibri" w:eastAsia="Calibri"/>
          <w:b w:val="0"/>
          <w:i w:val="0"/>
          <w:color w:val="000000"/>
          <w:sz w:val="20"/>
        </w:rPr>
        <w:t>Cet écart protège l'atelier contre une hausse des pertes ou une cuisson supplémentaire. La construction de la marge sera étudiée dans le prochain cours.</w:t>
      </w:r>
    </w:p>
    <w:p>
      <w:r>
        <w:br w:type="page"/>
      </w:r>
    </w:p>
    <w:p>
      <w:pPr>
        <w:pStyle w:val="Heading1"/>
        <w:pBdr>
          <w:bottom w:val="single" w:sz="10" w:space="4" w:color="9A6347"/>
        </w:pBdr>
      </w:pPr>
      <w:r>
        <w:rPr>
          <w:rFonts w:ascii="Calibri" w:hAnsi="Calibri" w:eastAsia="Calibri"/>
          <w:b/>
          <w:i w:val="0"/>
          <w:color w:val="000000"/>
          <w:sz w:val="32"/>
        </w:rPr>
        <w:t>Application - La série de vases SILLON</w:t>
      </w:r>
    </w:p>
    <w:p>
      <w:pPr>
        <w:keepNext w:val="0"/>
        <w:spacing w:before="0" w:after="80"/>
      </w:pPr>
      <w:r>
        <w:rPr>
          <w:rFonts w:ascii="Calibri" w:hAnsi="Calibri" w:eastAsia="Calibri"/>
          <w:b w:val="0"/>
          <w:i w:val="0"/>
          <w:color w:val="000000"/>
          <w:sz w:val="21"/>
        </w:rPr>
        <w:t>L'atelier SILLON doit livrer 36 vases. Le client propose un prix de 78 € HT par vase. Le taux moyen de pertes est de 10 % et l'atelier prévoit quatre commandes dans le mois.</w:t>
      </w:r>
    </w:p>
    <w:tbl>
      <w:tblPr>
        <w:tblW w:type="dxa" w:w="10346"/>
        <w:tblLayout w:type="fixed"/>
        <w:tblLook w:firstColumn="1" w:firstRow="1" w:lastColumn="0" w:lastRow="0" w:noHBand="0" w:noVBand="1" w:val="04A0"/>
        <w:tblInd w:type="dxa" w:w="120"/>
        <w:tblBorders>
          <w:top w:val="single" w:sz="6" w:color="9A6347"/>
          <w:left w:val="single" w:sz="4" w:color="C8C8C8"/>
          <w:bottom w:val="single" w:sz="6" w:color="9A6347"/>
          <w:right w:val="single" w:sz="4" w:color="C8C8C8"/>
          <w:insideH w:val="single" w:sz="4" w:color="C8C8C8"/>
          <w:insideV w:val="single" w:sz="4" w:color="C8C8C8"/>
        </w:tblBorders>
      </w:tblPr>
      <w:tblGrid>
        <w:gridCol w:w="7000"/>
        <w:gridCol w:w="3346"/>
      </w:tblGrid>
      <w:tr>
        <w:trPr>
          <w:tblHeader w:val="true"/>
        </w:trPr>
        <w:tc>
          <w:tcPr>
            <w:tcW w:type="dxa" w:w="7000"/>
            <w:vAlign w:val="center"/>
            <w:shd w:val="clear" w:color="auto" w:fill="F6EEE9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Donnée</w:t>
            </w:r>
          </w:p>
        </w:tc>
        <w:tc>
          <w:tcPr>
            <w:tcW w:type="dxa" w:w="3346"/>
            <w:vAlign w:val="center"/>
            <w:shd w:val="clear" w:color="auto" w:fill="F6EEE9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Montant</w:t>
            </w:r>
          </w:p>
        </w:tc>
      </w:tr>
      <w:tr>
        <w:tc>
          <w:tcPr>
            <w:tcW w:type="dxa" w:w="70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Grès par pièce fabriquée</w:t>
            </w:r>
          </w:p>
        </w:tc>
        <w:tc>
          <w:tcPr>
            <w:tcW w:type="dxa" w:w="3346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6 €</w:t>
            </w:r>
          </w:p>
        </w:tc>
      </w:tr>
      <w:tr>
        <w:tc>
          <w:tcPr>
            <w:tcW w:type="dxa" w:w="7000"/>
            <w:vAlign w:val="center"/>
            <w:shd w:val="clear" w:color="auto" w:fill="FBF7F4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Engobe par pièce fabriquée</w:t>
            </w:r>
          </w:p>
        </w:tc>
        <w:tc>
          <w:tcPr>
            <w:tcW w:type="dxa" w:w="3346"/>
            <w:vAlign w:val="center"/>
            <w:shd w:val="clear" w:color="auto" w:fill="FBF7F4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2 €</w:t>
            </w:r>
          </w:p>
        </w:tc>
      </w:tr>
      <w:tr>
        <w:tc>
          <w:tcPr>
            <w:tcW w:type="dxa" w:w="70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Énergie de cuisson par pièce fabriquée</w:t>
            </w:r>
          </w:p>
        </w:tc>
        <w:tc>
          <w:tcPr>
            <w:tcW w:type="dxa" w:w="3346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4 €</w:t>
            </w:r>
          </w:p>
        </w:tc>
      </w:tr>
      <w:tr>
        <w:tc>
          <w:tcPr>
            <w:tcW w:type="dxa" w:w="7000"/>
            <w:vAlign w:val="center"/>
            <w:shd w:val="clear" w:color="auto" w:fill="FBF7F4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Emballage par pièce livrée</w:t>
            </w:r>
          </w:p>
        </w:tc>
        <w:tc>
          <w:tcPr>
            <w:tcW w:type="dxa" w:w="3346"/>
            <w:vAlign w:val="center"/>
            <w:shd w:val="clear" w:color="auto" w:fill="FBF7F4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3 €</w:t>
            </w:r>
          </w:p>
        </w:tc>
      </w:tr>
      <w:tr>
        <w:tc>
          <w:tcPr>
            <w:tcW w:type="dxa" w:w="70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Essais et prototype</w:t>
            </w:r>
          </w:p>
        </w:tc>
        <w:tc>
          <w:tcPr>
            <w:tcW w:type="dxa" w:w="3346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180 €</w:t>
            </w:r>
          </w:p>
        </w:tc>
      </w:tr>
      <w:tr>
        <w:tc>
          <w:tcPr>
            <w:tcW w:type="dxa" w:w="7000"/>
            <w:vAlign w:val="center"/>
            <w:shd w:val="clear" w:color="auto" w:fill="FBF7F4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Livraison</w:t>
            </w:r>
          </w:p>
        </w:tc>
        <w:tc>
          <w:tcPr>
            <w:tcW w:type="dxa" w:w="3346"/>
            <w:vAlign w:val="center"/>
            <w:shd w:val="clear" w:color="auto" w:fill="FBF7F4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120 €</w:t>
            </w:r>
          </w:p>
        </w:tc>
      </w:tr>
      <w:tr>
        <w:tc>
          <w:tcPr>
            <w:tcW w:type="dxa" w:w="70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Charges fixes mensuelles</w:t>
            </w:r>
          </w:p>
        </w:tc>
        <w:tc>
          <w:tcPr>
            <w:tcW w:type="dxa" w:w="3346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900 €</w:t>
            </w:r>
          </w:p>
        </w:tc>
      </w:tr>
      <w:tr>
        <w:tc>
          <w:tcPr>
            <w:tcW w:type="dxa" w:w="7000"/>
            <w:vAlign w:val="center"/>
            <w:shd w:val="clear" w:color="auto" w:fill="FBF7F4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Temps de travail prévu</w:t>
            </w:r>
          </w:p>
        </w:tc>
        <w:tc>
          <w:tcPr>
            <w:tcW w:type="dxa" w:w="3346"/>
            <w:vAlign w:val="center"/>
            <w:shd w:val="clear" w:color="auto" w:fill="FBF7F4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48 heures</w:t>
            </w:r>
          </w:p>
        </w:tc>
      </w:tr>
      <w:tr>
        <w:tc>
          <w:tcPr>
            <w:tcW w:type="dxa" w:w="70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Valeur horaire retenue</w:t>
            </w:r>
          </w:p>
        </w:tc>
        <w:tc>
          <w:tcPr>
            <w:tcW w:type="dxa" w:w="3346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24 €</w:t>
            </w:r>
          </w:p>
        </w:tc>
      </w:tr>
    </w:tbl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Déterminez le nombre minimal de vases à fabriquer.</w:t>
      </w:r>
    </w:p>
    <w:p>
      <w:pPr>
        <w:spacing w:before="0" w:after="16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Calculez les charges variables totales, emballages compris.</w:t>
      </w:r>
    </w:p>
    <w:p>
      <w:pPr>
        <w:spacing w:before="0" w:after="16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Déterminez la part des charges fixes attribuée à la commande.</w:t>
      </w:r>
    </w:p>
    <w:p>
      <w:pPr>
        <w:spacing w:before="0" w:after="16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Calculez la valeur du temps de travail.</w:t>
      </w:r>
    </w:p>
    <w:p>
      <w:pPr>
        <w:spacing w:before="0" w:after="16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Calculez le coût de revient total puis le coût d'un vase vendable.</w:t>
      </w:r>
    </w:p>
    <w:p>
      <w:pPr>
        <w:spacing w:before="0" w:after="20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spacing w:before="0" w:after="20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Le prix proposé par le client est-il suffisant ? Justifiez votre réponse.</w:t>
      </w:r>
    </w:p>
    <w:p>
      <w:pPr>
        <w:spacing w:before="0" w:after="20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spacing w:before="0" w:after="20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r>
        <w:br w:type="page"/>
      </w:r>
    </w:p>
    <w:p>
      <w:pPr>
        <w:pStyle w:val="Heading1"/>
        <w:pBdr>
          <w:bottom w:val="single" w:sz="10" w:space="4" w:color="9A6347"/>
        </w:pBdr>
      </w:pPr>
      <w:r>
        <w:rPr>
          <w:rFonts w:ascii="Calibri" w:hAnsi="Calibri" w:eastAsia="Calibri"/>
          <w:b/>
          <w:i w:val="0"/>
          <w:color w:val="000000"/>
          <w:sz w:val="32"/>
        </w:rPr>
        <w:t>Exercice d'approfondissement - Choisir entre deux commandes</w:t>
      </w:r>
    </w:p>
    <w:p>
      <w:pPr>
        <w:keepNext w:val="0"/>
        <w:spacing w:before="0" w:after="80"/>
      </w:pPr>
      <w:r>
        <w:rPr>
          <w:rFonts w:ascii="Calibri" w:hAnsi="Calibri" w:eastAsia="Calibri"/>
          <w:b w:val="0"/>
          <w:i w:val="0"/>
          <w:color w:val="000000"/>
          <w:sz w:val="21"/>
        </w:rPr>
        <w:t>L'atelier TERRE ne peut accepter qu'une seule commande ce mois-ci. La part de charges fixes attribuée sera de 220 € et l'atelier valorise son travail à 24 € par heure.</w:t>
      </w:r>
    </w:p>
    <w:tbl>
      <w:tblPr>
        <w:tblW w:type="dxa" w:w="10346"/>
        <w:tblLayout w:type="fixed"/>
        <w:tblLook w:firstColumn="1" w:firstRow="1" w:lastColumn="0" w:lastRow="0" w:noHBand="0" w:noVBand="1" w:val="04A0"/>
        <w:tblInd w:type="dxa" w:w="120"/>
        <w:tblBorders>
          <w:top w:val="single" w:sz="6" w:color="9A6347"/>
          <w:left w:val="single" w:sz="4" w:color="C8C8C8"/>
          <w:bottom w:val="single" w:sz="6" w:color="9A6347"/>
          <w:right w:val="single" w:sz="4" w:color="C8C8C8"/>
          <w:insideH w:val="single" w:sz="4" w:color="C8C8C8"/>
          <w:insideV w:val="single" w:sz="4" w:color="C8C8C8"/>
        </w:tblBorders>
      </w:tblPr>
      <w:tblGrid>
        <w:gridCol w:w="3820"/>
        <w:gridCol w:w="3263"/>
        <w:gridCol w:w="3263"/>
      </w:tblGrid>
      <w:tr>
        <w:trPr>
          <w:tblHeader w:val="true"/>
        </w:trPr>
        <w:tc>
          <w:tcPr>
            <w:tcW w:type="dxa" w:w="3820"/>
            <w:vAlign w:val="center"/>
            <w:shd w:val="clear" w:color="auto" w:fill="F6EEE9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Données</w:t>
            </w:r>
          </w:p>
        </w:tc>
        <w:tc>
          <w:tcPr>
            <w:tcW w:type="dxa" w:w="3263"/>
            <w:vAlign w:val="center"/>
            <w:shd w:val="clear" w:color="auto" w:fill="F6EEE9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Commande A</w:t>
            </w:r>
          </w:p>
        </w:tc>
        <w:tc>
          <w:tcPr>
            <w:tcW w:type="dxa" w:w="3263"/>
            <w:vAlign w:val="center"/>
            <w:shd w:val="clear" w:color="auto" w:fill="F6EEE9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Commande B</w:t>
            </w:r>
          </w:p>
        </w:tc>
      </w:tr>
      <w:tr>
        <w:tc>
          <w:tcPr>
            <w:tcW w:type="dxa" w:w="382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Commande à livrer</w:t>
            </w:r>
          </w:p>
        </w:tc>
        <w:tc>
          <w:tcPr>
            <w:tcW w:type="dxa" w:w="326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50 bols</w:t>
            </w:r>
          </w:p>
        </w:tc>
        <w:tc>
          <w:tcPr>
            <w:tcW w:type="dxa" w:w="326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80 tasses</w:t>
            </w:r>
          </w:p>
        </w:tc>
      </w:tr>
      <w:tr>
        <w:tc>
          <w:tcPr>
            <w:tcW w:type="dxa" w:w="3820"/>
            <w:vAlign w:val="center"/>
            <w:shd w:val="clear" w:color="auto" w:fill="FBF7F4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Prix de vente unitaire HT</w:t>
            </w:r>
          </w:p>
        </w:tc>
        <w:tc>
          <w:tcPr>
            <w:tcW w:type="dxa" w:w="3263"/>
            <w:vAlign w:val="center"/>
            <w:shd w:val="clear" w:color="auto" w:fill="FBF7F4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58 €</w:t>
            </w:r>
          </w:p>
        </w:tc>
        <w:tc>
          <w:tcPr>
            <w:tcW w:type="dxa" w:w="3263"/>
            <w:vAlign w:val="center"/>
            <w:shd w:val="clear" w:color="auto" w:fill="FBF7F4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42 €</w:t>
            </w:r>
          </w:p>
        </w:tc>
      </w:tr>
      <w:tr>
        <w:tc>
          <w:tcPr>
            <w:tcW w:type="dxa" w:w="382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Charges variables par pièce fabriquée</w:t>
            </w:r>
          </w:p>
        </w:tc>
        <w:tc>
          <w:tcPr>
            <w:tcW w:type="dxa" w:w="326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14 €</w:t>
            </w:r>
          </w:p>
        </w:tc>
        <w:tc>
          <w:tcPr>
            <w:tcW w:type="dxa" w:w="326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9 €</w:t>
            </w:r>
          </w:p>
        </w:tc>
      </w:tr>
      <w:tr>
        <w:tc>
          <w:tcPr>
            <w:tcW w:type="dxa" w:w="3820"/>
            <w:vAlign w:val="center"/>
            <w:shd w:val="clear" w:color="auto" w:fill="FBF7F4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Taux moyen de pertes</w:t>
            </w:r>
          </w:p>
        </w:tc>
        <w:tc>
          <w:tcPr>
            <w:tcW w:type="dxa" w:w="3263"/>
            <w:vAlign w:val="center"/>
            <w:shd w:val="clear" w:color="auto" w:fill="FBF7F4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10 %</w:t>
            </w:r>
          </w:p>
        </w:tc>
        <w:tc>
          <w:tcPr>
            <w:tcW w:type="dxa" w:w="3263"/>
            <w:vAlign w:val="center"/>
            <w:shd w:val="clear" w:color="auto" w:fill="FBF7F4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5 %</w:t>
            </w:r>
          </w:p>
        </w:tc>
      </w:tr>
      <w:tr>
        <w:tc>
          <w:tcPr>
            <w:tcW w:type="dxa" w:w="382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Dépenses propres à la commande</w:t>
            </w:r>
          </w:p>
        </w:tc>
        <w:tc>
          <w:tcPr>
            <w:tcW w:type="dxa" w:w="326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180 €</w:t>
            </w:r>
          </w:p>
        </w:tc>
        <w:tc>
          <w:tcPr>
            <w:tcW w:type="dxa" w:w="3263"/>
            <w:vAlign w:val="center"/>
            <w:shd w:val="clear" w:color="auto" w:fill="FFFFFF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250 €</w:t>
            </w:r>
          </w:p>
        </w:tc>
      </w:tr>
      <w:tr>
        <w:tc>
          <w:tcPr>
            <w:tcW w:type="dxa" w:w="3820"/>
            <w:vAlign w:val="center"/>
            <w:shd w:val="clear" w:color="auto" w:fill="FBF7F4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Temps de travail</w:t>
            </w:r>
          </w:p>
        </w:tc>
        <w:tc>
          <w:tcPr>
            <w:tcW w:type="dxa" w:w="3263"/>
            <w:vAlign w:val="center"/>
            <w:shd w:val="clear" w:color="auto" w:fill="FBF7F4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45 heures</w:t>
            </w:r>
          </w:p>
        </w:tc>
        <w:tc>
          <w:tcPr>
            <w:tcW w:type="dxa" w:w="3263"/>
            <w:vAlign w:val="center"/>
            <w:shd w:val="clear" w:color="auto" w:fill="FBF7F4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60 heures</w:t>
            </w:r>
          </w:p>
        </w:tc>
      </w:tr>
    </w:tbl>
    <w:p>
      <w:pPr>
        <w:spacing w:before="100" w:after="120"/>
        <w:ind w:left="115" w:right="29"/>
        <w:shd w:val="clear" w:color="auto" w:fill="F6EEE9"/>
        <w:pBdr>
          <w:left w:val="single" w:sz="16" w:space="6" w:color="9A6347"/>
        </w:pBdr>
      </w:pPr>
      <w:r>
        <w:rPr>
          <w:rFonts w:ascii="Calibri" w:hAnsi="Calibri" w:eastAsia="Calibri"/>
          <w:b/>
          <w:i w:val="0"/>
          <w:color w:val="000000"/>
          <w:sz w:val="20"/>
        </w:rPr>
        <w:t xml:space="preserve">MISSION  </w:t>
      </w:r>
      <w:r>
        <w:rPr>
          <w:rFonts w:ascii="Calibri" w:hAnsi="Calibri" w:eastAsia="Calibri"/>
          <w:b w:val="0"/>
          <w:i w:val="0"/>
          <w:color w:val="000000"/>
          <w:sz w:val="20"/>
        </w:rPr>
        <w:t>Conseillez à l'atelier la commande à accepter. Vous choisirez vous-même les calculs utiles, tiendrez compte des pertes et comparerez les deux commandes selon au moins deux critères.</w:t>
      </w:r>
    </w:p>
    <w:p>
      <w:pPr>
        <w:keepNext w:val="0"/>
        <w:spacing w:before="0" w:after="80"/>
      </w:pPr>
      <w:r>
        <w:rPr>
          <w:rFonts w:ascii="Calibri" w:hAnsi="Calibri" w:eastAsia="Calibri"/>
          <w:b w:val="0"/>
          <w:i w:val="0"/>
          <w:color w:val="000000"/>
          <w:sz w:val="21"/>
        </w:rPr>
        <w:t>Présentez vos calculs, puis expliquez clairement votre recommandation. Plusieurs réponses peuvent être admises lorsqu'elles sont correctement justifiées.</w:t>
      </w:r>
    </w:p>
    <w:p>
      <w:pPr>
        <w:pStyle w:val="Heading2"/>
      </w:pPr>
      <w:r>
        <w:rPr>
          <w:rFonts w:ascii="Calibri" w:hAnsi="Calibri" w:eastAsia="Calibri"/>
          <w:b/>
          <w:i w:val="0"/>
          <w:color w:val="000000"/>
          <w:sz w:val="25"/>
        </w:rPr>
        <w:t>Calculs et raisonnement</w:t>
      </w:r>
    </w:p>
    <w:p>
      <w:pPr>
        <w:spacing w:before="0" w:after="36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spacing w:before="0" w:after="36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spacing w:before="0" w:after="36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spacing w:before="0" w:after="36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spacing w:before="0" w:after="36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spacing w:before="0" w:after="36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pStyle w:val="Heading2"/>
      </w:pPr>
      <w:r>
        <w:rPr>
          <w:rFonts w:ascii="Calibri" w:hAnsi="Calibri" w:eastAsia="Calibri"/>
          <w:b/>
          <w:i w:val="0"/>
          <w:color w:val="000000"/>
          <w:sz w:val="25"/>
        </w:rPr>
        <w:t>Conclusion et recommandation</w:t>
      </w:r>
    </w:p>
    <w:p>
      <w:pPr>
        <w:spacing w:before="0" w:after="36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spacing w:before="0" w:after="36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spacing w:before="0" w:after="36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r>
        <w:br w:type="page"/>
      </w:r>
    </w:p>
    <w:p>
      <w:pPr>
        <w:pStyle w:val="Heading1"/>
        <w:pBdr>
          <w:bottom w:val="single" w:sz="10" w:space="4" w:color="9A6347"/>
        </w:pBdr>
      </w:pPr>
      <w:r>
        <w:rPr>
          <w:rFonts w:ascii="Calibri" w:hAnsi="Calibri" w:eastAsia="Calibri"/>
          <w:b/>
          <w:i w:val="0"/>
          <w:color w:val="000000"/>
          <w:sz w:val="32"/>
        </w:rPr>
        <w:t>Synthèse - Les idées essentielles</w:t>
      </w:r>
    </w:p>
    <w:p>
      <w:pPr>
        <w:spacing w:before="20" w:after="50"/>
        <w:ind w:left="317"/>
        <w:pBdr>
          <w:left w:val="single" w:sz="9" w:space="6" w:color="9A6347"/>
        </w:pBdr>
      </w:pPr>
      <w:r>
        <w:rPr>
          <w:rFonts w:ascii="Calibri" w:hAnsi="Calibri" w:eastAsia="Calibri"/>
          <w:b w:val="0"/>
          <w:i w:val="0"/>
          <w:color w:val="000000"/>
          <w:sz w:val="20"/>
        </w:rPr>
        <w:t>Les charges variables dépendent du nombre de pièces réellement fabriquées.</w:t>
      </w:r>
    </w:p>
    <w:p>
      <w:pPr>
        <w:spacing w:before="20" w:after="50"/>
        <w:ind w:left="317"/>
        <w:pBdr>
          <w:left w:val="single" w:sz="9" w:space="6" w:color="9A6347"/>
        </w:pBdr>
      </w:pPr>
      <w:r>
        <w:rPr>
          <w:rFonts w:ascii="Calibri" w:hAnsi="Calibri" w:eastAsia="Calibri"/>
          <w:b w:val="0"/>
          <w:i w:val="0"/>
          <w:color w:val="000000"/>
          <w:sz w:val="20"/>
        </w:rPr>
        <w:t>Les pertes de fabrication augmentent le coût des pièces vendables.</w:t>
      </w:r>
    </w:p>
    <w:p>
      <w:pPr>
        <w:spacing w:before="20" w:after="50"/>
        <w:ind w:left="317"/>
        <w:pBdr>
          <w:left w:val="single" w:sz="9" w:space="6" w:color="9A6347"/>
        </w:pBdr>
      </w:pPr>
      <w:r>
        <w:rPr>
          <w:rFonts w:ascii="Calibri" w:hAnsi="Calibri" w:eastAsia="Calibri"/>
          <w:b w:val="0"/>
          <w:i w:val="0"/>
          <w:color w:val="000000"/>
          <w:sz w:val="20"/>
        </w:rPr>
        <w:t>Chaque commande doit contribuer au financement des charges fixes de l'atelier.</w:t>
      </w:r>
    </w:p>
    <w:p>
      <w:pPr>
        <w:spacing w:before="20" w:after="50"/>
        <w:ind w:left="317"/>
        <w:pBdr>
          <w:left w:val="single" w:sz="9" w:space="6" w:color="9A6347"/>
        </w:pBdr>
      </w:pPr>
      <w:r>
        <w:rPr>
          <w:rFonts w:ascii="Calibri" w:hAnsi="Calibri" w:eastAsia="Calibri"/>
          <w:b w:val="0"/>
          <w:i w:val="0"/>
          <w:color w:val="000000"/>
          <w:sz w:val="20"/>
        </w:rPr>
        <w:t>Le temps de recherche, de fabrication et de finition doit être valorisé.</w:t>
      </w:r>
    </w:p>
    <w:p>
      <w:pPr>
        <w:spacing w:before="20" w:after="50"/>
        <w:ind w:left="317"/>
        <w:pBdr>
          <w:left w:val="single" w:sz="9" w:space="6" w:color="9A6347"/>
        </w:pBdr>
      </w:pPr>
      <w:r>
        <w:rPr>
          <w:rFonts w:ascii="Calibri" w:hAnsi="Calibri" w:eastAsia="Calibri"/>
          <w:b w:val="0"/>
          <w:i w:val="0"/>
          <w:color w:val="000000"/>
          <w:sz w:val="20"/>
        </w:rPr>
        <w:t>Le prix minimal doit être calculé à partir du nombre de pièces réellement vendables.</w:t>
      </w:r>
    </w:p>
    <w:p>
      <w:pPr>
        <w:pStyle w:val="Heading2"/>
      </w:pPr>
      <w:r>
        <w:rPr>
          <w:rFonts w:ascii="Calibri" w:hAnsi="Calibri" w:eastAsia="Calibri"/>
          <w:b/>
          <w:i w:val="0"/>
          <w:color w:val="000000"/>
          <w:sz w:val="25"/>
        </w:rPr>
        <w:t>Vocabulaire à connaître</w:t>
      </w:r>
    </w:p>
    <w:tbl>
      <w:tblPr>
        <w:tblW w:type="dxa" w:w="10346"/>
        <w:tblLayout w:type="fixed"/>
        <w:tblLook w:firstColumn="1" w:firstRow="1" w:lastColumn="0" w:lastRow="0" w:noHBand="0" w:noVBand="1" w:val="04A0"/>
        <w:tblInd w:type="dxa" w:w="120"/>
        <w:tblBorders>
          <w:top w:val="single" w:sz="6" w:color="9A6347"/>
          <w:left w:val="single" w:sz="4" w:color="C8C8C8"/>
          <w:bottom w:val="single" w:sz="6" w:color="9A6347"/>
          <w:right w:val="single" w:sz="4" w:color="C8C8C8"/>
          <w:insideH w:val="single" w:sz="4" w:color="C8C8C8"/>
          <w:insideV w:val="single" w:sz="4" w:color="C8C8C8"/>
        </w:tblBorders>
      </w:tblPr>
      <w:tblGrid>
        <w:gridCol w:w="3100"/>
        <w:gridCol w:w="7246"/>
      </w:tblGrid>
      <w:tr>
        <w:trPr>
          <w:tblHeader w:val="true"/>
        </w:trPr>
        <w:tc>
          <w:tcPr>
            <w:tcW w:type="dxa" w:w="3100"/>
            <w:vAlign w:val="center"/>
            <w:shd w:val="clear" w:color="auto" w:fill="F6EEE9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Notion</w:t>
            </w:r>
          </w:p>
        </w:tc>
        <w:tc>
          <w:tcPr>
            <w:tcW w:type="dxa" w:w="7246"/>
            <w:vAlign w:val="center"/>
            <w:shd w:val="clear" w:color="auto" w:fill="F6EEE9"/>
          </w:tcPr>
          <w:p>
            <w:pPr>
              <w:spacing w:before="20" w:after="20" w:line="240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00000"/>
                <w:sz w:val="18"/>
              </w:rPr>
              <w:t>Définition</w:t>
            </w:r>
          </w:p>
        </w:tc>
      </w:tr>
      <w:tr>
        <w:tc>
          <w:tcPr>
            <w:tcW w:type="dxa" w:w="31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Quantité fabriquée</w:t>
            </w:r>
          </w:p>
        </w:tc>
        <w:tc>
          <w:tcPr>
            <w:tcW w:type="dxa" w:w="7246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Nombre total de pièces mises en fabrication, pertes comprises.</w:t>
            </w:r>
          </w:p>
        </w:tc>
      </w:tr>
      <w:tr>
        <w:tc>
          <w:tcPr>
            <w:tcW w:type="dxa" w:w="3100"/>
            <w:vAlign w:val="center"/>
            <w:shd w:val="clear" w:color="auto" w:fill="FBF7F4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Quantité vendable</w:t>
            </w:r>
          </w:p>
        </w:tc>
        <w:tc>
          <w:tcPr>
            <w:tcW w:type="dxa" w:w="7246"/>
            <w:vAlign w:val="center"/>
            <w:shd w:val="clear" w:color="auto" w:fill="FBF7F4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Nombre de pièces conformes pouvant être livrées et facturées.</w:t>
            </w:r>
          </w:p>
        </w:tc>
      </w:tr>
      <w:tr>
        <w:tc>
          <w:tcPr>
            <w:tcW w:type="dxa" w:w="31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Taux de pertes</w:t>
            </w:r>
          </w:p>
        </w:tc>
        <w:tc>
          <w:tcPr>
            <w:tcW w:type="dxa" w:w="7246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Proportion moyenne des pièces fabriquées qui ne peuvent pas être vendues.</w:t>
            </w:r>
          </w:p>
        </w:tc>
      </w:tr>
      <w:tr>
        <w:tc>
          <w:tcPr>
            <w:tcW w:type="dxa" w:w="3100"/>
            <w:vAlign w:val="center"/>
            <w:shd w:val="clear" w:color="auto" w:fill="FBF7F4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Part des charges fixes</w:t>
            </w:r>
          </w:p>
        </w:tc>
        <w:tc>
          <w:tcPr>
            <w:tcW w:type="dxa" w:w="7246"/>
            <w:vAlign w:val="center"/>
            <w:shd w:val="clear" w:color="auto" w:fill="FBF7F4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Fraction des charges fixes attribuée à une commande.</w:t>
            </w:r>
          </w:p>
        </w:tc>
      </w:tr>
      <w:tr>
        <w:tc>
          <w:tcPr>
            <w:tcW w:type="dxa" w:w="31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Valeur du travail</w:t>
            </w:r>
          </w:p>
        </w:tc>
        <w:tc>
          <w:tcPr>
            <w:tcW w:type="dxa" w:w="7246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Montant retenu pour rémunérer le temps consacré à la commande.</w:t>
            </w:r>
          </w:p>
        </w:tc>
      </w:tr>
      <w:tr>
        <w:tc>
          <w:tcPr>
            <w:tcW w:type="dxa" w:w="3100"/>
            <w:vAlign w:val="center"/>
            <w:shd w:val="clear" w:color="auto" w:fill="FBF7F4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Coût de revient unitaire</w:t>
            </w:r>
          </w:p>
        </w:tc>
        <w:tc>
          <w:tcPr>
            <w:tcW w:type="dxa" w:w="7246"/>
            <w:vAlign w:val="center"/>
            <w:shd w:val="clear" w:color="auto" w:fill="FBF7F4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Coût total rapporté au nombre de pièces vendables.</w:t>
            </w:r>
          </w:p>
        </w:tc>
      </w:tr>
      <w:tr>
        <w:tc>
          <w:tcPr>
            <w:tcW w:type="dxa" w:w="3100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Prix minimal HT</w:t>
            </w:r>
          </w:p>
        </w:tc>
        <w:tc>
          <w:tcPr>
            <w:tcW w:type="dxa" w:w="7246"/>
            <w:vAlign w:val="center"/>
            <w:shd w:val="clear" w:color="auto" w:fill="FFFFFF"/>
          </w:tcPr>
          <w:p>
            <w:pPr>
              <w:spacing w:before="20" w:after="2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18"/>
              </w:rPr>
              <w:t>Prix en dessous duquel tous les éléments prévus ne sont pas couverts.</w:t>
            </w:r>
          </w:p>
        </w:tc>
      </w:tr>
    </w:tbl>
    <w:p>
      <w:pPr>
        <w:pStyle w:val="Heading2"/>
      </w:pPr>
      <w:r>
        <w:rPr>
          <w:rFonts w:ascii="Calibri" w:hAnsi="Calibri" w:eastAsia="Calibri"/>
          <w:b/>
          <w:i w:val="0"/>
          <w:color w:val="000000"/>
          <w:sz w:val="25"/>
        </w:rPr>
        <w:t>Questions de révision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Pourquoi faut-il distinguer la quantité fabriquée de la quantité vendable ?</w:t>
      </w:r>
    </w:p>
    <w:p>
      <w:pPr>
        <w:spacing w:before="0" w:after="20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Pourquoi les pièces perdues augmentent-elles le coût unitaire ?</w:t>
      </w:r>
    </w:p>
    <w:p>
      <w:pPr>
        <w:spacing w:before="0" w:after="20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Pourquoi faut-il intégrer les essais et les prototypes au calcul ?</w:t>
      </w:r>
    </w:p>
    <w:p>
      <w:pPr>
        <w:spacing w:before="0" w:after="20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keepNext/>
        <w:spacing w:before="80" w:after="40"/>
      </w:pPr>
      <w:r>
        <w:rPr>
          <w:rFonts w:ascii="Calibri" w:hAnsi="Calibri" w:eastAsia="Calibri"/>
          <w:b/>
          <w:i w:val="0"/>
          <w:color w:val="000000"/>
          <w:sz w:val="20"/>
        </w:rPr>
        <w:t>Que se passe-t-il lorsque le prix de vente est inférieur au coût de revient ?</w:t>
      </w:r>
    </w:p>
    <w:p>
      <w:pPr>
        <w:spacing w:before="0" w:after="200"/>
        <w:pBdr>
          <w:bottom w:val="single" w:sz="4" w:space="1" w:color="D4D4D4"/>
        </w:pBdr>
      </w:pPr>
      <w:r>
        <w:rPr>
          <w:rFonts w:ascii="Calibri" w:hAnsi="Calibri" w:eastAsia="Calibri"/>
          <w:b w:val="0"/>
          <w:i w:val="0"/>
          <w:color w:val="000000"/>
          <w:sz w:val="18"/>
        </w:rPr>
        <w:t xml:space="preserve"> </w:t>
      </w:r>
    </w:p>
    <w:p>
      <w:pPr>
        <w:spacing w:before="100" w:after="120"/>
        <w:ind w:left="115" w:right="29"/>
        <w:shd w:val="clear" w:color="auto" w:fill="F6EEE9"/>
        <w:pBdr>
          <w:left w:val="single" w:sz="16" w:space="6" w:color="9A6347"/>
        </w:pBdr>
      </w:pPr>
      <w:r>
        <w:rPr>
          <w:rFonts w:ascii="Calibri" w:hAnsi="Calibri" w:eastAsia="Calibri"/>
          <w:b/>
          <w:i w:val="0"/>
          <w:color w:val="000000"/>
          <w:sz w:val="20"/>
        </w:rPr>
        <w:t xml:space="preserve">PROCHAIN COURS  </w:t>
      </w:r>
      <w:r>
        <w:rPr>
          <w:rFonts w:ascii="Calibri" w:hAnsi="Calibri" w:eastAsia="Calibri"/>
          <w:b w:val="0"/>
          <w:i w:val="0"/>
          <w:color w:val="000000"/>
          <w:sz w:val="20"/>
        </w:rPr>
        <w:t>Comment ajouter une marge au coût de revient et construire un prix de vente rentable ?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22" w:right="822" w:bottom="765" w:left="822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 w:eastAsia="Calibri"/>
        <w:b w:val="0"/>
        <w:i w:val="0"/>
        <w:color w:val="666666"/>
        <w:sz w:val="17"/>
      </w:rPr>
      <w:t xml:space="preserve">Page </w:t>
    </w:r>
    <w:r>
      <w:rPr>
        <w:rFonts w:ascii="Calibri" w:hAnsi="Calibri" w:eastAsia="Calibri"/>
        <w:b w:val="0"/>
        <w:i w:val="0"/>
        <w:color w:val="666666"/>
        <w:sz w:val="17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40"/>
      <w:jc w:val="left"/>
      <w:pBdr>
        <w:bottom w:val="single" w:sz="6" w:space="3" w:color="9A6347"/>
      </w:pBdr>
    </w:pPr>
    <w:r>
      <w:rPr>
        <w:rFonts w:ascii="Calibri" w:hAnsi="Calibri" w:eastAsia="Calibri"/>
        <w:b/>
        <w:i w:val="0"/>
        <w:color w:val="666666"/>
        <w:sz w:val="17"/>
      </w:rPr>
      <w:t>DNMADE 3 | Gestion appliquée à l'activité créative | Matériaux - Céramique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DNMADE 3 - Cours 2 - Coût de revient - Matériaux Céramique</dc:title>
  <dc:subject>Gestion appliquée à l'activité créative - Document élève</dc:subject>
  <dc:creator/>
  <cp:keywords>DNMADE, céramique, coût de revient, pertes de fabrication, prix minimal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